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301.349640pt;margin-top:263.817902pt;width:6.4pt;height:11.6pt;mso-position-horizontal-relative:page;mso-position-vertical-relative:page;z-index:-252023808" type="#_x0000_t202" filled="false" stroked="false">
            <v:textbox inset="0,0,0,0">
              <w:txbxContent>
                <w:p>
                  <w:pPr>
                    <w:spacing w:line="231" w:lineRule="exact" w:before="0"/>
                    <w:ind w:left="0" w:right="0" w:firstLine="0"/>
                    <w:jc w:val="left"/>
                    <w:rPr>
                      <w:sz w:val="20"/>
                    </w:rPr>
                  </w:pPr>
                  <w:r>
                    <w:rPr>
                      <w:spacing w:val="-1"/>
                      <w:w w:val="99"/>
                      <w:sz w:val="20"/>
                    </w:rPr>
                    <w:t>N</w:t>
                  </w:r>
                </w:p>
              </w:txbxContent>
            </v:textbox>
            <w10:wrap type="none"/>
          </v:shape>
        </w:pict>
      </w:r>
      <w:r>
        <w:rPr/>
        <w:pict>
          <v:shape style="position:absolute;margin-left:416.192902pt;margin-top:263.817902pt;width:6.4pt;height:11.6pt;mso-position-horizontal-relative:page;mso-position-vertical-relative:page;z-index:-252022784" type="#_x0000_t202" filled="false" stroked="false">
            <v:textbox inset="0,0,0,0">
              <w:txbxContent>
                <w:p>
                  <w:pPr>
                    <w:spacing w:line="231" w:lineRule="exact" w:before="0"/>
                    <w:ind w:left="0" w:right="0" w:firstLine="0"/>
                    <w:jc w:val="left"/>
                    <w:rPr>
                      <w:sz w:val="20"/>
                    </w:rPr>
                  </w:pPr>
                  <w:r>
                    <w:rPr>
                      <w:spacing w:val="-1"/>
                      <w:w w:val="99"/>
                      <w:sz w:val="20"/>
                    </w:rPr>
                    <w:t>N</w:t>
                  </w:r>
                </w:p>
              </w:txbxContent>
            </v:textbox>
            <w10:wrap type="none"/>
          </v:shape>
        </w:pict>
      </w:r>
    </w:p>
    <w:p>
      <w:pPr>
        <w:pStyle w:val="BodyText"/>
        <w:spacing w:before="2"/>
        <w:rPr>
          <w:rFonts w:ascii="Times New Roman"/>
          <w:sz w:val="19"/>
        </w:rPr>
      </w:pPr>
    </w:p>
    <w:p>
      <w:pPr>
        <w:spacing w:before="101" w:after="5"/>
        <w:ind w:left="546" w:right="546" w:firstLine="0"/>
        <w:jc w:val="center"/>
        <w:rPr>
          <w:b/>
          <w:sz w:val="28"/>
        </w:rPr>
      </w:pPr>
      <w:r>
        <w:rPr>
          <w:b/>
          <w:sz w:val="28"/>
        </w:rPr>
        <w:t>Notice to Terminate Tenancy on Death of Tenant</w:t>
      </w:r>
    </w:p>
    <w:p>
      <w:pPr>
        <w:pStyle w:val="BodyText"/>
        <w:ind w:left="116"/>
        <w:rPr>
          <w:sz w:val="20"/>
        </w:rPr>
      </w:pPr>
      <w:r>
        <w:rPr>
          <w:sz w:val="20"/>
        </w:rPr>
        <w:pict>
          <v:shape style="width:459.35pt;height:101.65pt;mso-position-horizontal-relative:char;mso-position-vertical-relative:line" type="#_x0000_t202" filled="false" stroked="true" strokeweight=".48004pt" strokecolor="#000000">
            <w10:anchorlock/>
            <v:textbox inset="0,0,0,0">
              <w:txbxContent>
                <w:p>
                  <w:pPr>
                    <w:spacing w:before="18"/>
                    <w:ind w:left="107" w:right="0" w:firstLine="0"/>
                    <w:jc w:val="left"/>
                    <w:rPr>
                      <w:sz w:val="20"/>
                    </w:rPr>
                  </w:pPr>
                  <w:r>
                    <w:rPr>
                      <w:b/>
                      <w:sz w:val="20"/>
                    </w:rPr>
                    <w:t>Name of Tenant(s</w:t>
                  </w:r>
                  <w:r>
                    <w:rPr>
                      <w:sz w:val="20"/>
                    </w:rPr>
                    <w:t>)</w:t>
                  </w:r>
                </w:p>
                <w:p>
                  <w:pPr>
                    <w:spacing w:before="118"/>
                    <w:ind w:left="107" w:right="0" w:firstLine="0"/>
                    <w:jc w:val="left"/>
                    <w:rPr>
                      <w:b/>
                      <w:sz w:val="20"/>
                    </w:rPr>
                  </w:pPr>
                  <w:r>
                    <w:rPr>
                      <w:b/>
                      <w:sz w:val="20"/>
                    </w:rPr>
                    <w:t>Address of Property:</w:t>
                  </w:r>
                </w:p>
                <w:p>
                  <w:pPr>
                    <w:spacing w:before="1"/>
                    <w:ind w:left="107" w:right="0" w:firstLine="0"/>
                    <w:jc w:val="left"/>
                    <w:rPr>
                      <w:b/>
                      <w:sz w:val="20"/>
                    </w:rPr>
                  </w:pPr>
                  <w:r>
                    <w:rPr>
                      <w:b/>
                      <w:sz w:val="20"/>
                    </w:rPr>
                    <w:t>Name of Next of Kin</w:t>
                  </w:r>
                </w:p>
                <w:p>
                  <w:pPr>
                    <w:spacing w:before="118"/>
                    <w:ind w:left="107" w:right="0" w:firstLine="0"/>
                    <w:jc w:val="left"/>
                    <w:rPr>
                      <w:b/>
                      <w:sz w:val="20"/>
                    </w:rPr>
                  </w:pPr>
                  <w:r>
                    <w:rPr>
                      <w:sz w:val="20"/>
                    </w:rPr>
                    <w:t>In accordance with the terms of the Tenancy, I hereby give a minimum of four weeks' notice to terminate the tenancy of the above property expiring on </w:t>
                  </w:r>
                  <w:r>
                    <w:rPr>
                      <w:b/>
                      <w:sz w:val="20"/>
                    </w:rPr>
                    <w:t>Sunday .............................</w:t>
                  </w:r>
                </w:p>
                <w:p>
                  <w:pPr>
                    <w:spacing w:before="121"/>
                    <w:ind w:left="107" w:right="0" w:firstLine="0"/>
                    <w:jc w:val="left"/>
                    <w:rPr>
                      <w:sz w:val="20"/>
                    </w:rPr>
                  </w:pPr>
                  <w:r>
                    <w:rPr>
                      <w:sz w:val="20"/>
                    </w:rPr>
                    <w:t>I understand that Havebury will contact me to arrange a pre-leaving inspection and to answer any questions you may have.</w:t>
                  </w:r>
                </w:p>
              </w:txbxContent>
            </v:textbox>
            <v:stroke dashstyle="solid"/>
          </v:shape>
        </w:pict>
      </w:r>
      <w:r>
        <w:rPr>
          <w:sz w:val="20"/>
        </w:rPr>
      </w:r>
    </w:p>
    <w:p>
      <w:pPr>
        <w:pStyle w:val="BodyText"/>
        <w:spacing w:before="4"/>
        <w:rPr>
          <w:b/>
          <w:sz w:val="5"/>
        </w:rPr>
      </w:pPr>
      <w:r>
        <w:rPr/>
        <w:pict>
          <v:group style="position:absolute;margin-left:67.823997pt;margin-top:5.31003pt;width:459.8pt;height:109.85pt;mso-position-horizontal-relative:page;mso-position-vertical-relative:paragraph;z-index:-251648000;mso-wrap-distance-left:0;mso-wrap-distance-right:0" coordorigin="1356,106" coordsize="9196,2197">
            <v:line style="position:absolute" from="1366,111" to="10543,111" stroked="true" strokeweight=".48001pt" strokecolor="#000000">
              <v:stroke dashstyle="solid"/>
            </v:line>
            <v:line style="position:absolute" from="1366,2298" to="10543,2298" stroked="true" strokeweight=".48001pt" strokecolor="#000000">
              <v:stroke dashstyle="solid"/>
            </v:line>
            <v:line style="position:absolute" from="1361,106" to="1361,2303" stroked="true" strokeweight=".48pt" strokecolor="#000000">
              <v:stroke dashstyle="solid"/>
            </v:line>
            <v:line style="position:absolute" from="10548,106" to="10548,2303" stroked="true" strokeweight=".48004pt" strokecolor="#000000">
              <v:stroke dashstyle="solid"/>
            </v:line>
            <v:rect style="position:absolute;left:5856;top:333;width:270;height:255" filled="true" fillcolor="#ffffff" stroked="false">
              <v:fill type="solid"/>
            </v:rect>
            <v:rect style="position:absolute;left:5856;top:333;width:270;height:255" filled="false" stroked="true" strokeweight=".75pt" strokecolor="#000000">
              <v:stroke dashstyle="solid"/>
            </v:rect>
            <v:rect style="position:absolute;left:8161;top:333;width:270;height:255" filled="true" fillcolor="#ffffff" stroked="false">
              <v:fill type="solid"/>
            </v:rect>
            <v:rect style="position:absolute;left:8161;top:333;width:270;height:255" filled="false" stroked="true" strokeweight=".75pt" strokecolor="#000000">
              <v:stroke dashstyle="solid"/>
            </v:rect>
            <v:rect style="position:absolute;left:3465;top:324;width:270;height:255" filled="false" stroked="true" strokeweight=".75pt" strokecolor="#000000">
              <v:stroke dashstyle="solid"/>
            </v:rect>
            <v:rect style="position:absolute;left:9735;top:330;width:270;height:255" filled="false" stroked="true" strokeweight=".75pt" strokecolor="#000000">
              <v:stroke dashstyle="solid"/>
            </v:rect>
            <v:shape style="position:absolute;left:1474;top:1342;width:8052;height:697" type="#_x0000_t202" filled="false" stroked="false">
              <v:textbox inset="0,0,0,0">
                <w:txbxContent>
                  <w:p>
                    <w:pPr>
                      <w:tabs>
                        <w:tab w:pos="5262" w:val="left" w:leader="none"/>
                      </w:tabs>
                      <w:spacing w:line="231" w:lineRule="exact" w:before="0"/>
                      <w:ind w:left="0" w:right="0" w:firstLine="0"/>
                      <w:jc w:val="left"/>
                      <w:rPr>
                        <w:sz w:val="20"/>
                      </w:rPr>
                    </w:pPr>
                    <w:r>
                      <w:rPr>
                        <w:sz w:val="20"/>
                      </w:rPr>
                      <w:t>Have any alterations been carried out at</w:t>
                    </w:r>
                    <w:r>
                      <w:rPr>
                        <w:spacing w:val="-27"/>
                        <w:sz w:val="20"/>
                      </w:rPr>
                      <w:t> </w:t>
                    </w:r>
                    <w:r>
                      <w:rPr>
                        <w:sz w:val="20"/>
                      </w:rPr>
                      <w:t>the</w:t>
                    </w:r>
                    <w:r>
                      <w:rPr>
                        <w:spacing w:val="-2"/>
                        <w:sz w:val="20"/>
                      </w:rPr>
                      <w:t> </w:t>
                    </w:r>
                    <w:r>
                      <w:rPr>
                        <w:sz w:val="20"/>
                      </w:rPr>
                      <w:t>property?</w:t>
                      <w:tab/>
                      <w:t>Yes /</w:t>
                    </w:r>
                    <w:r>
                      <w:rPr>
                        <w:spacing w:val="-1"/>
                        <w:sz w:val="20"/>
                      </w:rPr>
                      <w:t> </w:t>
                    </w:r>
                    <w:r>
                      <w:rPr>
                        <w:sz w:val="20"/>
                      </w:rPr>
                      <w:t>No</w:t>
                    </w:r>
                  </w:p>
                  <w:p>
                    <w:pPr>
                      <w:spacing w:line="240" w:lineRule="auto" w:before="1"/>
                      <w:rPr>
                        <w:b/>
                        <w:sz w:val="20"/>
                      </w:rPr>
                    </w:pPr>
                  </w:p>
                  <w:p>
                    <w:pPr>
                      <w:spacing w:before="0"/>
                      <w:ind w:left="60" w:right="0" w:firstLine="0"/>
                      <w:jc w:val="left"/>
                      <w:rPr>
                        <w:sz w:val="20"/>
                      </w:rPr>
                    </w:pPr>
                    <w:r>
                      <w:rPr>
                        <w:sz w:val="20"/>
                      </w:rPr>
                      <w:t>If</w:t>
                    </w:r>
                    <w:r>
                      <w:rPr>
                        <w:spacing w:val="-34"/>
                        <w:sz w:val="20"/>
                      </w:rPr>
                      <w:t> </w:t>
                    </w:r>
                    <w:r>
                      <w:rPr>
                        <w:sz w:val="20"/>
                      </w:rPr>
                      <w:t>“yes”,</w:t>
                    </w:r>
                    <w:r>
                      <w:rPr>
                        <w:spacing w:val="-34"/>
                        <w:sz w:val="20"/>
                      </w:rPr>
                      <w:t> </w:t>
                    </w:r>
                    <w:r>
                      <w:rPr>
                        <w:sz w:val="20"/>
                      </w:rPr>
                      <w:t>please</w:t>
                    </w:r>
                    <w:r>
                      <w:rPr>
                        <w:spacing w:val="-33"/>
                        <w:sz w:val="20"/>
                      </w:rPr>
                      <w:t> </w:t>
                    </w:r>
                    <w:r>
                      <w:rPr>
                        <w:sz w:val="20"/>
                      </w:rPr>
                      <w:t>describe:</w:t>
                    </w:r>
                    <w:r>
                      <w:rPr>
                        <w:spacing w:val="-28"/>
                        <w:sz w:val="20"/>
                      </w:rPr>
                      <w:t> </w:t>
                    </w:r>
                    <w:r>
                      <w:rPr>
                        <w:sz w:val="20"/>
                      </w:rPr>
                      <w:t>..............................................................................</w:t>
                    </w:r>
                  </w:p>
                </w:txbxContent>
              </v:textbox>
              <w10:wrap type="none"/>
            </v:shape>
            <v:shape style="position:absolute;left:8492;top:831;width:146;height:279" type="#_x0000_t202" filled="false" stroked="false">
              <v:textbox inset="0,0,0,0">
                <w:txbxContent>
                  <w:p>
                    <w:pPr>
                      <w:spacing w:before="0"/>
                      <w:ind w:left="0" w:right="0" w:firstLine="0"/>
                      <w:jc w:val="left"/>
                      <w:rPr>
                        <w:sz w:val="24"/>
                      </w:rPr>
                    </w:pPr>
                    <w:r>
                      <w:rPr>
                        <w:sz w:val="24"/>
                      </w:rPr>
                      <w:t>3</w:t>
                    </w:r>
                  </w:p>
                </w:txbxContent>
              </v:textbox>
              <w10:wrap type="none"/>
            </v:shape>
            <v:shape style="position:absolute;left:7932;top:831;width:146;height:279" type="#_x0000_t202" filled="false" stroked="false">
              <v:textbox inset="0,0,0,0">
                <w:txbxContent>
                  <w:p>
                    <w:pPr>
                      <w:spacing w:before="0"/>
                      <w:ind w:left="0" w:right="0" w:firstLine="0"/>
                      <w:jc w:val="left"/>
                      <w:rPr>
                        <w:sz w:val="24"/>
                      </w:rPr>
                    </w:pPr>
                    <w:r>
                      <w:rPr>
                        <w:sz w:val="24"/>
                      </w:rPr>
                      <w:t>2</w:t>
                    </w:r>
                  </w:p>
                </w:txbxContent>
              </v:textbox>
              <w10:wrap type="none"/>
            </v:shape>
            <v:shape style="position:absolute;left:7373;top:831;width:146;height:279" type="#_x0000_t202" filled="false" stroked="false">
              <v:textbox inset="0,0,0,0">
                <w:txbxContent>
                  <w:p>
                    <w:pPr>
                      <w:spacing w:before="0"/>
                      <w:ind w:left="0" w:right="0" w:firstLine="0"/>
                      <w:jc w:val="left"/>
                      <w:rPr>
                        <w:sz w:val="24"/>
                      </w:rPr>
                    </w:pPr>
                    <w:r>
                      <w:rPr>
                        <w:sz w:val="24"/>
                      </w:rPr>
                      <w:t>1</w:t>
                    </w:r>
                  </w:p>
                </w:txbxContent>
              </v:textbox>
              <w10:wrap type="none"/>
            </v:shape>
            <v:shape style="position:absolute;left:6776;top:831;width:183;height:279" type="#_x0000_t202" filled="false" stroked="false">
              <v:textbox inset="0,0,0,0">
                <w:txbxContent>
                  <w:p>
                    <w:pPr>
                      <w:spacing w:before="0"/>
                      <w:ind w:left="0" w:right="0" w:firstLine="0"/>
                      <w:jc w:val="left"/>
                      <w:rPr>
                        <w:sz w:val="24"/>
                      </w:rPr>
                    </w:pPr>
                    <w:r>
                      <w:rPr>
                        <w:sz w:val="24"/>
                      </w:rPr>
                      <w:t>G</w:t>
                    </w:r>
                  </w:p>
                </w:txbxContent>
              </v:textbox>
              <w10:wrap type="none"/>
            </v:shape>
            <v:shape style="position:absolute;left:1474;top:870;width:4836;height:232" type="#_x0000_t202" filled="false" stroked="false">
              <v:textbox inset="0,0,0,0">
                <w:txbxContent>
                  <w:p>
                    <w:pPr>
                      <w:spacing w:line="231" w:lineRule="exact" w:before="0"/>
                      <w:ind w:left="0" w:right="0" w:firstLine="0"/>
                      <w:jc w:val="left"/>
                      <w:rPr>
                        <w:sz w:val="20"/>
                      </w:rPr>
                    </w:pPr>
                    <w:r>
                      <w:rPr>
                        <w:sz w:val="20"/>
                      </w:rPr>
                      <w:t>If a flat, please indicate what floor the flat is located</w:t>
                    </w:r>
                  </w:p>
                </w:txbxContent>
              </v:textbox>
              <w10:wrap type="none"/>
            </v:shape>
            <v:shape style="position:absolute;left:8450;top:368;width:739;height:232" type="#_x0000_t202" filled="false" stroked="false">
              <v:textbox inset="0,0,0,0">
                <w:txbxContent>
                  <w:p>
                    <w:pPr>
                      <w:spacing w:line="231" w:lineRule="exact" w:before="0"/>
                      <w:ind w:left="0" w:right="0" w:firstLine="0"/>
                      <w:jc w:val="left"/>
                      <w:rPr>
                        <w:sz w:val="20"/>
                      </w:rPr>
                    </w:pPr>
                    <w:r>
                      <w:rPr>
                        <w:sz w:val="20"/>
                      </w:rPr>
                      <w:t>°of WCs</w:t>
                    </w:r>
                  </w:p>
                </w:txbxContent>
              </v:textbox>
              <w10:wrap type="none"/>
            </v:shape>
            <v:shape style="position:absolute;left:6154;top:368;width:1830;height:232" type="#_x0000_t202" filled="false" stroked="false">
              <v:textbox inset="0,0,0,0">
                <w:txbxContent>
                  <w:p>
                    <w:pPr>
                      <w:spacing w:line="231" w:lineRule="exact" w:before="0"/>
                      <w:ind w:left="0" w:right="0" w:firstLine="0"/>
                      <w:jc w:val="left"/>
                      <w:rPr>
                        <w:sz w:val="20"/>
                      </w:rPr>
                    </w:pPr>
                    <w:r>
                      <w:rPr>
                        <w:sz w:val="20"/>
                      </w:rPr>
                      <w:t>°of Single bedrooms</w:t>
                    </w:r>
                  </w:p>
                </w:txbxContent>
              </v:textbox>
              <w10:wrap type="none"/>
            </v:shape>
            <v:shape style="position:absolute;left:1474;top:135;width:4273;height:465" type="#_x0000_t202" filled="false" stroked="false">
              <v:textbox inset="0,0,0,0">
                <w:txbxContent>
                  <w:p>
                    <w:pPr>
                      <w:spacing w:line="231" w:lineRule="exact" w:before="0"/>
                      <w:ind w:left="0" w:right="0" w:firstLine="0"/>
                      <w:jc w:val="left"/>
                      <w:rPr>
                        <w:sz w:val="20"/>
                      </w:rPr>
                    </w:pPr>
                    <w:r>
                      <w:rPr>
                        <w:b/>
                        <w:sz w:val="20"/>
                      </w:rPr>
                      <w:t>Property Details</w:t>
                    </w:r>
                    <w:r>
                      <w:rPr>
                        <w:sz w:val="20"/>
                      </w:rPr>
                      <w:t>:</w:t>
                    </w:r>
                  </w:p>
                  <w:p>
                    <w:pPr>
                      <w:tabs>
                        <w:tab w:pos="2229" w:val="left" w:leader="none"/>
                      </w:tabs>
                      <w:spacing w:before="0"/>
                      <w:ind w:left="0" w:right="0" w:firstLine="0"/>
                      <w:jc w:val="left"/>
                      <w:rPr>
                        <w:sz w:val="20"/>
                      </w:rPr>
                    </w:pPr>
                    <w:r>
                      <w:rPr>
                        <w:sz w:val="20"/>
                      </w:rPr>
                      <w:t>Total N°</w:t>
                    </w:r>
                    <w:r>
                      <w:rPr>
                        <w:spacing w:val="-7"/>
                        <w:sz w:val="20"/>
                      </w:rPr>
                      <w:t> </w:t>
                    </w:r>
                    <w:r>
                      <w:rPr>
                        <w:sz w:val="20"/>
                      </w:rPr>
                      <w:t>of</w:t>
                    </w:r>
                    <w:r>
                      <w:rPr>
                        <w:spacing w:val="-3"/>
                        <w:sz w:val="20"/>
                      </w:rPr>
                      <w:t> </w:t>
                    </w:r>
                    <w:r>
                      <w:rPr>
                        <w:sz w:val="20"/>
                      </w:rPr>
                      <w:t>bedrooms</w:t>
                      <w:tab/>
                      <w:t>N°of Double</w:t>
                    </w:r>
                    <w:r>
                      <w:rPr>
                        <w:spacing w:val="-11"/>
                        <w:sz w:val="20"/>
                      </w:rPr>
                      <w:t> </w:t>
                    </w:r>
                    <w:r>
                      <w:rPr>
                        <w:sz w:val="20"/>
                      </w:rPr>
                      <w:t>bedrooms</w:t>
                    </w:r>
                  </w:p>
                </w:txbxContent>
              </v:textbox>
              <w10:wrap type="none"/>
            </v:shape>
            <w10:wrap type="topAndBottom"/>
          </v:group>
        </w:pict>
      </w:r>
    </w:p>
    <w:p>
      <w:pPr>
        <w:spacing w:before="80"/>
        <w:ind w:left="234" w:right="234" w:firstLine="0"/>
        <w:jc w:val="both"/>
        <w:rPr>
          <w:i/>
          <w:sz w:val="20"/>
        </w:rPr>
      </w:pPr>
      <w:r>
        <w:rPr>
          <w:i/>
          <w:sz w:val="20"/>
        </w:rPr>
        <w:t>I understand that under the terms of the Tenancy Agreement, a minimum of four weeks' notice is </w:t>
      </w:r>
      <w:r>
        <w:rPr>
          <w:i/>
          <w:sz w:val="20"/>
        </w:rPr>
        <w:t>required and that the estate is responsible for the rent of the premises throughout the notice period, even though the keys may be returned before that expiry date.</w:t>
      </w:r>
    </w:p>
    <w:p>
      <w:pPr>
        <w:spacing w:before="120"/>
        <w:ind w:left="234" w:right="0" w:firstLine="0"/>
        <w:jc w:val="both"/>
        <w:rPr>
          <w:i/>
          <w:sz w:val="20"/>
        </w:rPr>
      </w:pPr>
      <w:r>
        <w:rPr>
          <w:i/>
          <w:sz w:val="20"/>
        </w:rPr>
        <w:t>I declare that I have the authority to act in relation to the deceased’s affairs and that I have also</w:t>
      </w:r>
    </w:p>
    <w:p>
      <w:pPr>
        <w:spacing w:before="0"/>
        <w:ind w:left="234" w:right="0" w:firstLine="0"/>
        <w:jc w:val="both"/>
        <w:rPr>
          <w:i/>
          <w:sz w:val="20"/>
        </w:rPr>
      </w:pPr>
      <w:r>
        <w:rPr>
          <w:i/>
          <w:sz w:val="20"/>
        </w:rPr>
        <w:t>read the notes below and understand the information on giving up the tenancy.</w:t>
      </w:r>
    </w:p>
    <w:p>
      <w:pPr>
        <w:pStyle w:val="BodyText"/>
        <w:spacing w:before="2"/>
        <w:rPr>
          <w:i/>
          <w:sz w:val="20"/>
        </w:rPr>
      </w:pPr>
    </w:p>
    <w:p>
      <w:pPr>
        <w:spacing w:line="231" w:lineRule="exact" w:before="0"/>
        <w:ind w:left="234" w:right="0" w:firstLine="0"/>
        <w:jc w:val="left"/>
        <w:rPr>
          <w:sz w:val="20"/>
        </w:rPr>
      </w:pPr>
      <w:r>
        <w:rPr>
          <w:b/>
          <w:sz w:val="20"/>
        </w:rPr>
        <w:t>Signed </w:t>
      </w:r>
      <w:r>
        <w:rPr>
          <w:sz w:val="20"/>
        </w:rPr>
        <w:t>............................................................................ Date ................................</w:t>
      </w:r>
    </w:p>
    <w:p>
      <w:pPr>
        <w:spacing w:line="231" w:lineRule="exact" w:before="0"/>
        <w:ind w:left="941" w:right="0" w:firstLine="0"/>
        <w:jc w:val="left"/>
        <w:rPr>
          <w:b/>
          <w:i/>
          <w:sz w:val="20"/>
        </w:rPr>
      </w:pPr>
      <w:r>
        <w:rPr>
          <w:b/>
          <w:i/>
          <w:sz w:val="20"/>
        </w:rPr>
        <w:t>Next of kin/Executor</w:t>
      </w:r>
    </w:p>
    <w:p>
      <w:pPr>
        <w:pStyle w:val="BodyText"/>
        <w:spacing w:before="1"/>
        <w:rPr>
          <w:b/>
          <w:i/>
          <w:sz w:val="20"/>
        </w:rPr>
      </w:pPr>
    </w:p>
    <w:p>
      <w:pPr>
        <w:spacing w:before="0"/>
        <w:ind w:left="234" w:right="0" w:firstLine="0"/>
        <w:jc w:val="both"/>
        <w:rPr>
          <w:sz w:val="20"/>
        </w:rPr>
      </w:pPr>
      <w:r>
        <w:rPr>
          <w:b/>
          <w:sz w:val="20"/>
        </w:rPr>
        <w:t>Contact Address </w:t>
      </w:r>
      <w:r>
        <w:rPr>
          <w:sz w:val="20"/>
        </w:rPr>
        <w:t>................................................................ Telephone: ........................</w:t>
      </w:r>
    </w:p>
    <w:p>
      <w:pPr>
        <w:spacing w:before="116"/>
        <w:ind w:left="234" w:right="247" w:firstLine="0"/>
        <w:jc w:val="both"/>
        <w:rPr>
          <w:sz w:val="20"/>
        </w:rPr>
      </w:pPr>
      <w:r>
        <w:rPr>
          <w:sz w:val="20"/>
        </w:rPr>
        <w:t>If you need to obtain a Grant of Probate or Letters of Administration, please ensure we receive a copy.</w:t>
      </w:r>
    </w:p>
    <w:p>
      <w:pPr>
        <w:pStyle w:val="BodyText"/>
        <w:spacing w:before="10"/>
        <w:rPr>
          <w:sz w:val="19"/>
        </w:rPr>
      </w:pPr>
    </w:p>
    <w:p>
      <w:pPr>
        <w:spacing w:before="1"/>
        <w:ind w:left="234" w:right="239" w:firstLine="0"/>
        <w:jc w:val="both"/>
        <w:rPr>
          <w:sz w:val="20"/>
        </w:rPr>
      </w:pPr>
      <w:r>
        <w:rPr>
          <w:sz w:val="20"/>
        </w:rPr>
        <w:t>You must ensure that, when vacating the property, you have informed your utility supplier and that all items not belonging to Havebury have been removed from the property, garden and any outbuildings. The property, garden and outbuildings should be left in a clean and tidy condition, free from</w:t>
      </w:r>
      <w:r>
        <w:rPr>
          <w:spacing w:val="-1"/>
          <w:sz w:val="20"/>
        </w:rPr>
        <w:t> </w:t>
      </w:r>
      <w:r>
        <w:rPr>
          <w:sz w:val="20"/>
        </w:rPr>
        <w:t>rubbish.</w:t>
      </w:r>
    </w:p>
    <w:p>
      <w:pPr>
        <w:pStyle w:val="BodyText"/>
        <w:rPr>
          <w:sz w:val="20"/>
        </w:rPr>
      </w:pPr>
    </w:p>
    <w:p>
      <w:pPr>
        <w:spacing w:before="0"/>
        <w:ind w:left="234" w:right="0" w:firstLine="0"/>
        <w:jc w:val="both"/>
        <w:rPr>
          <w:sz w:val="20"/>
        </w:rPr>
      </w:pPr>
      <w:r>
        <w:rPr>
          <w:sz w:val="20"/>
        </w:rPr>
        <w:t>Failure to comply with the above conditions may result in any necessary repairs or clearance being</w:t>
      </w:r>
    </w:p>
    <w:p>
      <w:pPr>
        <w:spacing w:before="1"/>
        <w:ind w:left="234" w:right="0" w:firstLine="0"/>
        <w:jc w:val="both"/>
        <w:rPr>
          <w:sz w:val="20"/>
        </w:rPr>
      </w:pPr>
      <w:r>
        <w:rPr>
          <w:sz w:val="20"/>
        </w:rPr>
        <w:t>made rechargeable to the outgoing tenant’s estate.</w:t>
      </w:r>
    </w:p>
    <w:p>
      <w:pPr>
        <w:pStyle w:val="BodyText"/>
        <w:spacing w:before="10"/>
        <w:rPr>
          <w:sz w:val="19"/>
        </w:rPr>
      </w:pPr>
    </w:p>
    <w:p>
      <w:pPr>
        <w:spacing w:before="1"/>
        <w:ind w:left="234" w:right="245" w:firstLine="0"/>
        <w:jc w:val="both"/>
        <w:rPr>
          <w:sz w:val="20"/>
        </w:rPr>
      </w:pPr>
      <w:r>
        <w:rPr>
          <w:sz w:val="20"/>
        </w:rPr>
        <w:t>Your local council may have schemes to help you dispose of bulky items. Please contact your council directly for details.</w:t>
      </w:r>
    </w:p>
    <w:p>
      <w:pPr>
        <w:pStyle w:val="BodyText"/>
        <w:spacing w:before="1"/>
        <w:rPr>
          <w:sz w:val="20"/>
        </w:rPr>
      </w:pPr>
    </w:p>
    <w:p>
      <w:pPr>
        <w:spacing w:line="231" w:lineRule="exact" w:before="0"/>
        <w:ind w:left="234" w:right="0" w:firstLine="0"/>
        <w:jc w:val="left"/>
        <w:rPr>
          <w:b/>
          <w:sz w:val="20"/>
        </w:rPr>
      </w:pPr>
      <w:r>
        <w:rPr>
          <w:b/>
          <w:sz w:val="20"/>
        </w:rPr>
        <w:t>Please return this form accompanied by a copy of the Death Certificate to:</w:t>
      </w:r>
    </w:p>
    <w:p>
      <w:pPr>
        <w:spacing w:line="231" w:lineRule="exact" w:before="0"/>
        <w:ind w:left="234" w:right="0" w:firstLine="0"/>
        <w:jc w:val="left"/>
        <w:rPr>
          <w:b/>
          <w:sz w:val="20"/>
        </w:rPr>
      </w:pPr>
      <w:r>
        <w:rPr>
          <w:b/>
          <w:sz w:val="20"/>
        </w:rPr>
        <w:t>Havebury Housing Partnership, Havebury House, Western Way, Bury St Edmunds IP33 3SP</w:t>
      </w:r>
    </w:p>
    <w:p>
      <w:pPr>
        <w:pStyle w:val="BodyText"/>
        <w:spacing w:before="8"/>
        <w:rPr>
          <w:b/>
          <w:sz w:val="14"/>
        </w:rPr>
      </w:pPr>
      <w:r>
        <w:rPr/>
        <w:pict>
          <v:line style="position:absolute;mso-position-horizontal-relative:page;mso-position-vertical-relative:paragraph;z-index:-251646976;mso-wrap-distance-left:0;mso-wrap-distance-right:0" from="72.264pt,11.609264pt" to="523.174pt,11.609264pt" stroked="true" strokeweight="2.16pt" strokecolor="#000000">
            <v:stroke dashstyle="solid"/>
            <w10:wrap type="topAndBottom"/>
          </v:line>
        </w:pict>
      </w:r>
    </w:p>
    <w:p>
      <w:pPr>
        <w:pStyle w:val="BodyText"/>
        <w:spacing w:before="8"/>
        <w:rPr>
          <w:b/>
          <w:sz w:val="8"/>
        </w:rPr>
      </w:pPr>
    </w:p>
    <w:p>
      <w:pPr>
        <w:spacing w:before="99"/>
        <w:ind w:left="234" w:right="0" w:firstLine="0"/>
        <w:jc w:val="left"/>
        <w:rPr>
          <w:b/>
          <w:sz w:val="20"/>
        </w:rPr>
      </w:pPr>
      <w:r>
        <w:rPr>
          <w:b/>
          <w:sz w:val="20"/>
        </w:rPr>
        <w:t>FOR OFFICIAL USE</w:t>
      </w:r>
    </w:p>
    <w:p>
      <w:pPr>
        <w:pStyle w:val="BodyText"/>
        <w:rPr>
          <w:b/>
          <w:sz w:val="18"/>
        </w:rPr>
      </w:pPr>
    </w:p>
    <w:p>
      <w:pPr>
        <w:tabs>
          <w:tab w:pos="4798" w:val="left" w:leader="none"/>
          <w:tab w:pos="5219" w:val="left" w:leader="none"/>
          <w:tab w:pos="9293" w:val="left" w:leader="none"/>
        </w:tabs>
        <w:spacing w:before="0"/>
        <w:ind w:left="234" w:right="0" w:firstLine="0"/>
        <w:jc w:val="left"/>
        <w:rPr>
          <w:sz w:val="18"/>
        </w:rPr>
      </w:pPr>
      <w:r>
        <w:rPr>
          <w:sz w:val="18"/>
        </w:rPr>
        <w:t>Tenancy terminated</w:t>
      </w:r>
      <w:r>
        <w:rPr>
          <w:spacing w:val="-12"/>
          <w:sz w:val="18"/>
        </w:rPr>
        <w:t> </w:t>
      </w:r>
      <w:r>
        <w:rPr>
          <w:sz w:val="18"/>
        </w:rPr>
        <w:t>on </w:t>
      </w:r>
      <w:r>
        <w:rPr>
          <w:spacing w:val="3"/>
          <w:sz w:val="18"/>
        </w:rPr>
        <w:t> </w:t>
      </w:r>
      <w:r>
        <w:rPr>
          <w:sz w:val="18"/>
          <w:u w:val="single"/>
        </w:rPr>
        <w:t> </w:t>
        <w:tab/>
      </w:r>
      <w:r>
        <w:rPr>
          <w:sz w:val="18"/>
        </w:rPr>
        <w:tab/>
      </w:r>
      <w:r>
        <w:rPr>
          <w:sz w:val="18"/>
          <w:u w:val="single"/>
        </w:rPr>
        <w:t> </w:t>
        <w:tab/>
      </w:r>
    </w:p>
    <w:p>
      <w:pPr>
        <w:spacing w:before="2"/>
        <w:ind w:left="5197" w:right="0" w:firstLine="0"/>
        <w:jc w:val="left"/>
        <w:rPr>
          <w:i/>
          <w:sz w:val="18"/>
        </w:rPr>
      </w:pPr>
      <w:r>
        <w:rPr>
          <w:i/>
          <w:sz w:val="18"/>
        </w:rPr>
        <w:t>Signed for Havebury Housing Partnership</w:t>
      </w:r>
    </w:p>
    <w:p>
      <w:pPr>
        <w:spacing w:after="0"/>
        <w:jc w:val="left"/>
        <w:rPr>
          <w:sz w:val="18"/>
        </w:rPr>
        <w:sectPr>
          <w:headerReference w:type="default" r:id="rId5"/>
          <w:footerReference w:type="default" r:id="rId6"/>
          <w:type w:val="continuous"/>
          <w:pgSz w:w="11910" w:h="16850"/>
          <w:pgMar w:header="375" w:footer="878" w:top="1940" w:bottom="1060" w:left="1240" w:right="1240"/>
        </w:sectPr>
      </w:pPr>
    </w:p>
    <w:p>
      <w:pPr>
        <w:pStyle w:val="BodyText"/>
        <w:spacing w:before="11"/>
        <w:rPr>
          <w:i/>
          <w:sz w:val="18"/>
        </w:rPr>
      </w:pPr>
    </w:p>
    <w:p>
      <w:pPr>
        <w:spacing w:before="99"/>
        <w:ind w:left="234" w:right="0" w:firstLine="0"/>
        <w:jc w:val="left"/>
        <w:rPr>
          <w:b/>
          <w:sz w:val="20"/>
        </w:rPr>
      </w:pPr>
      <w:r>
        <w:rPr>
          <w:b/>
          <w:sz w:val="20"/>
        </w:rPr>
        <w:t>MOVING</w:t>
      </w:r>
      <w:r>
        <w:rPr>
          <w:b/>
          <w:spacing w:val="-10"/>
          <w:sz w:val="20"/>
        </w:rPr>
        <w:t> </w:t>
      </w:r>
      <w:r>
        <w:rPr>
          <w:b/>
          <w:sz w:val="20"/>
        </w:rPr>
        <w:t>OUT</w:t>
      </w:r>
    </w:p>
    <w:p>
      <w:pPr>
        <w:spacing w:line="276" w:lineRule="auto" w:before="37"/>
        <w:ind w:left="234" w:right="243" w:firstLine="0"/>
        <w:jc w:val="both"/>
        <w:rPr>
          <w:sz w:val="20"/>
        </w:rPr>
      </w:pPr>
      <w:r>
        <w:rPr>
          <w:sz w:val="20"/>
        </w:rPr>
        <w:t>Please see below some important information about how we expect the property to be left. There are also details of costs the estate may be liable for if we need to clear, repair or replace things in the</w:t>
      </w:r>
      <w:r>
        <w:rPr>
          <w:spacing w:val="-1"/>
          <w:sz w:val="20"/>
        </w:rPr>
        <w:t> </w:t>
      </w:r>
      <w:r>
        <w:rPr>
          <w:sz w:val="20"/>
        </w:rPr>
        <w:t>property.</w:t>
      </w:r>
    </w:p>
    <w:p>
      <w:pPr>
        <w:spacing w:before="118"/>
        <w:ind w:left="234" w:right="0" w:firstLine="0"/>
        <w:jc w:val="left"/>
        <w:rPr>
          <w:b/>
          <w:sz w:val="20"/>
        </w:rPr>
      </w:pPr>
      <w:r>
        <w:rPr>
          <w:b/>
          <w:sz w:val="20"/>
        </w:rPr>
        <w:t>BEFORE YOU MOVE OUT</w:t>
      </w:r>
    </w:p>
    <w:p>
      <w:pPr>
        <w:spacing w:line="276" w:lineRule="auto" w:before="36"/>
        <w:ind w:left="234" w:right="244" w:firstLine="0"/>
        <w:jc w:val="both"/>
        <w:rPr>
          <w:sz w:val="20"/>
        </w:rPr>
      </w:pPr>
      <w:r>
        <w:rPr>
          <w:sz w:val="20"/>
        </w:rPr>
        <w:t>You must remove all of your furniture and belongings, including carpets, anything stored in the loft, garden or shed(s) and communal areas.</w:t>
      </w:r>
    </w:p>
    <w:p>
      <w:pPr>
        <w:spacing w:before="119"/>
        <w:ind w:left="234" w:right="0" w:firstLine="0"/>
        <w:jc w:val="left"/>
        <w:rPr>
          <w:sz w:val="20"/>
        </w:rPr>
      </w:pPr>
      <w:r>
        <w:rPr>
          <w:sz w:val="20"/>
        </w:rPr>
        <w:t>We will need to carry out a number and safety checks.</w:t>
      </w:r>
    </w:p>
    <w:p>
      <w:pPr>
        <w:spacing w:before="157"/>
        <w:ind w:left="234" w:right="0" w:firstLine="0"/>
        <w:jc w:val="left"/>
        <w:rPr>
          <w:sz w:val="20"/>
        </w:rPr>
      </w:pPr>
      <w:r>
        <w:rPr>
          <w:sz w:val="20"/>
        </w:rPr>
        <w:t>You must allow us access to the property to;</w:t>
      </w:r>
    </w:p>
    <w:p>
      <w:pPr>
        <w:pStyle w:val="ListParagraph"/>
        <w:numPr>
          <w:ilvl w:val="0"/>
          <w:numId w:val="1"/>
        </w:numPr>
        <w:tabs>
          <w:tab w:pos="953" w:val="left" w:leader="none"/>
          <w:tab w:pos="954" w:val="left" w:leader="none"/>
        </w:tabs>
        <w:spacing w:line="245" w:lineRule="exact" w:before="35" w:after="0"/>
        <w:ind w:left="954" w:right="0" w:hanging="360"/>
        <w:jc w:val="left"/>
        <w:rPr>
          <w:rFonts w:ascii="Symbol" w:hAnsi="Symbol"/>
          <w:sz w:val="20"/>
        </w:rPr>
      </w:pPr>
      <w:r>
        <w:rPr>
          <w:sz w:val="20"/>
        </w:rPr>
        <w:t>Undertake a Pre-leaving inspection of the</w:t>
      </w:r>
      <w:r>
        <w:rPr>
          <w:spacing w:val="-5"/>
          <w:sz w:val="20"/>
        </w:rPr>
        <w:t> </w:t>
      </w:r>
      <w:r>
        <w:rPr>
          <w:sz w:val="20"/>
        </w:rPr>
        <w:t>property;</w:t>
      </w:r>
    </w:p>
    <w:p>
      <w:pPr>
        <w:pStyle w:val="ListParagraph"/>
        <w:numPr>
          <w:ilvl w:val="0"/>
          <w:numId w:val="1"/>
        </w:numPr>
        <w:tabs>
          <w:tab w:pos="953" w:val="left" w:leader="none"/>
          <w:tab w:pos="954" w:val="left" w:leader="none"/>
        </w:tabs>
        <w:spacing w:line="245" w:lineRule="exact" w:before="0" w:after="0"/>
        <w:ind w:left="954" w:right="0" w:hanging="360"/>
        <w:jc w:val="left"/>
        <w:rPr>
          <w:rFonts w:ascii="Symbol" w:hAnsi="Symbol"/>
          <w:sz w:val="20"/>
        </w:rPr>
      </w:pPr>
      <w:r>
        <w:rPr>
          <w:sz w:val="20"/>
        </w:rPr>
        <w:t>Show new residents around the property;</w:t>
      </w:r>
    </w:p>
    <w:p>
      <w:pPr>
        <w:spacing w:before="119"/>
        <w:ind w:left="234" w:right="0" w:firstLine="0"/>
        <w:jc w:val="left"/>
        <w:rPr>
          <w:sz w:val="20"/>
        </w:rPr>
      </w:pPr>
      <w:r>
        <w:rPr>
          <w:sz w:val="20"/>
        </w:rPr>
        <w:t>Carry out work(s) identified by us – this includes fixing repairs for which you are responsible;</w:t>
      </w:r>
    </w:p>
    <w:p>
      <w:pPr>
        <w:spacing w:line="276" w:lineRule="auto" w:before="156"/>
        <w:ind w:left="234" w:right="234" w:firstLine="0"/>
        <w:jc w:val="both"/>
        <w:rPr>
          <w:sz w:val="20"/>
        </w:rPr>
      </w:pPr>
      <w:r>
        <w:rPr>
          <w:sz w:val="20"/>
        </w:rPr>
        <w:t>If we find any damage after you have moved out, or have to remove any items that you have left behind, we will charge the estate for the cost of repairing or removing them. See table below for details.</w:t>
      </w:r>
    </w:p>
    <w:p>
      <w:pPr>
        <w:pStyle w:val="BodyText"/>
        <w:spacing w:before="5"/>
        <w:rPr>
          <w:sz w:val="10"/>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7"/>
        <w:gridCol w:w="2600"/>
      </w:tblGrid>
      <w:tr>
        <w:trPr>
          <w:trHeight w:val="230" w:hRule="atLeast"/>
        </w:trPr>
        <w:tc>
          <w:tcPr>
            <w:tcW w:w="6577" w:type="dxa"/>
          </w:tcPr>
          <w:p>
            <w:pPr>
              <w:pStyle w:val="TableParagraph"/>
              <w:spacing w:line="210" w:lineRule="exact"/>
              <w:rPr>
                <w:b/>
                <w:sz w:val="20"/>
              </w:rPr>
            </w:pPr>
            <w:r>
              <w:rPr>
                <w:b/>
                <w:sz w:val="20"/>
              </w:rPr>
              <w:t>IF we have to:</w:t>
            </w:r>
          </w:p>
        </w:tc>
        <w:tc>
          <w:tcPr>
            <w:tcW w:w="2600" w:type="dxa"/>
          </w:tcPr>
          <w:p>
            <w:pPr>
              <w:pStyle w:val="TableParagraph"/>
              <w:spacing w:line="210" w:lineRule="exact"/>
              <w:rPr>
                <w:b/>
                <w:sz w:val="20"/>
              </w:rPr>
            </w:pPr>
            <w:r>
              <w:rPr>
                <w:b/>
                <w:sz w:val="20"/>
              </w:rPr>
              <w:t>Cost to you:</w:t>
            </w:r>
          </w:p>
        </w:tc>
      </w:tr>
      <w:tr>
        <w:trPr>
          <w:trHeight w:val="465" w:hRule="atLeast"/>
        </w:trPr>
        <w:tc>
          <w:tcPr>
            <w:tcW w:w="6577" w:type="dxa"/>
          </w:tcPr>
          <w:p>
            <w:pPr>
              <w:pStyle w:val="TableParagraph"/>
              <w:spacing w:line="232" w:lineRule="exact" w:before="1"/>
              <w:rPr>
                <w:sz w:val="20"/>
              </w:rPr>
            </w:pPr>
            <w:r>
              <w:rPr>
                <w:sz w:val="20"/>
              </w:rPr>
              <w:t>Standard clearance of 3 or 4 bed properties (individual quotes will be obtained if a specialist clearance is required)</w:t>
            </w:r>
          </w:p>
        </w:tc>
        <w:tc>
          <w:tcPr>
            <w:tcW w:w="2600" w:type="dxa"/>
          </w:tcPr>
          <w:p>
            <w:pPr>
              <w:pStyle w:val="TableParagraph"/>
              <w:spacing w:line="231" w:lineRule="exact"/>
              <w:rPr>
                <w:sz w:val="20"/>
              </w:rPr>
            </w:pPr>
            <w:r>
              <w:rPr>
                <w:sz w:val="20"/>
              </w:rPr>
              <w:t>£955.56</w:t>
            </w:r>
          </w:p>
        </w:tc>
      </w:tr>
      <w:tr>
        <w:trPr>
          <w:trHeight w:val="465" w:hRule="atLeast"/>
        </w:trPr>
        <w:tc>
          <w:tcPr>
            <w:tcW w:w="6577" w:type="dxa"/>
          </w:tcPr>
          <w:p>
            <w:pPr>
              <w:pStyle w:val="TableParagraph"/>
              <w:spacing w:line="232" w:lineRule="exact" w:before="1"/>
              <w:rPr>
                <w:sz w:val="20"/>
              </w:rPr>
            </w:pPr>
            <w:r>
              <w:rPr>
                <w:sz w:val="20"/>
              </w:rPr>
              <w:t>Standard clearance of 1 or 2 bed properties (individual quotes will be obtained if a specialist clearance is required)</w:t>
            </w:r>
          </w:p>
        </w:tc>
        <w:tc>
          <w:tcPr>
            <w:tcW w:w="2600" w:type="dxa"/>
          </w:tcPr>
          <w:p>
            <w:pPr>
              <w:pStyle w:val="TableParagraph"/>
              <w:spacing w:line="231" w:lineRule="exact"/>
              <w:rPr>
                <w:sz w:val="20"/>
              </w:rPr>
            </w:pPr>
            <w:r>
              <w:rPr>
                <w:sz w:val="20"/>
              </w:rPr>
              <w:t>£477.78</w:t>
            </w:r>
          </w:p>
        </w:tc>
      </w:tr>
      <w:tr>
        <w:trPr>
          <w:trHeight w:val="232" w:hRule="atLeast"/>
        </w:trPr>
        <w:tc>
          <w:tcPr>
            <w:tcW w:w="6577" w:type="dxa"/>
          </w:tcPr>
          <w:p>
            <w:pPr>
              <w:pStyle w:val="TableParagraph"/>
              <w:rPr>
                <w:sz w:val="20"/>
              </w:rPr>
            </w:pPr>
            <w:r>
              <w:rPr>
                <w:sz w:val="20"/>
              </w:rPr>
              <w:t>Garden clearance, including removal of the shed</w:t>
            </w:r>
          </w:p>
        </w:tc>
        <w:tc>
          <w:tcPr>
            <w:tcW w:w="2600" w:type="dxa"/>
          </w:tcPr>
          <w:p>
            <w:pPr>
              <w:pStyle w:val="TableParagraph"/>
              <w:rPr>
                <w:sz w:val="20"/>
              </w:rPr>
            </w:pPr>
            <w:r>
              <w:rPr>
                <w:sz w:val="20"/>
              </w:rPr>
              <w:t>Quotable</w:t>
            </w:r>
          </w:p>
        </w:tc>
      </w:tr>
      <w:tr>
        <w:trPr>
          <w:trHeight w:val="232" w:hRule="atLeast"/>
        </w:trPr>
        <w:tc>
          <w:tcPr>
            <w:tcW w:w="6577" w:type="dxa"/>
          </w:tcPr>
          <w:p>
            <w:pPr>
              <w:pStyle w:val="TableParagraph"/>
              <w:rPr>
                <w:sz w:val="20"/>
              </w:rPr>
            </w:pPr>
            <w:r>
              <w:rPr>
                <w:sz w:val="20"/>
              </w:rPr>
              <w:t>Renew and hang an internal door</w:t>
            </w:r>
          </w:p>
        </w:tc>
        <w:tc>
          <w:tcPr>
            <w:tcW w:w="2600" w:type="dxa"/>
          </w:tcPr>
          <w:p>
            <w:pPr>
              <w:pStyle w:val="TableParagraph"/>
              <w:rPr>
                <w:sz w:val="20"/>
              </w:rPr>
            </w:pPr>
            <w:r>
              <w:rPr>
                <w:sz w:val="20"/>
              </w:rPr>
              <w:t>£127.69</w:t>
            </w:r>
          </w:p>
        </w:tc>
      </w:tr>
      <w:tr>
        <w:trPr>
          <w:trHeight w:val="232" w:hRule="atLeast"/>
        </w:trPr>
        <w:tc>
          <w:tcPr>
            <w:tcW w:w="6577" w:type="dxa"/>
          </w:tcPr>
          <w:p>
            <w:pPr>
              <w:pStyle w:val="TableParagraph"/>
              <w:spacing w:line="213" w:lineRule="exact"/>
              <w:rPr>
                <w:sz w:val="20"/>
              </w:rPr>
            </w:pPr>
            <w:r>
              <w:rPr>
                <w:sz w:val="20"/>
              </w:rPr>
              <w:t>Rehang an internal door</w:t>
            </w:r>
          </w:p>
        </w:tc>
        <w:tc>
          <w:tcPr>
            <w:tcW w:w="2600" w:type="dxa"/>
          </w:tcPr>
          <w:p>
            <w:pPr>
              <w:pStyle w:val="TableParagraph"/>
              <w:spacing w:line="213" w:lineRule="exact"/>
              <w:rPr>
                <w:sz w:val="20"/>
              </w:rPr>
            </w:pPr>
            <w:r>
              <w:rPr>
                <w:sz w:val="20"/>
              </w:rPr>
              <w:t>£60</w:t>
            </w:r>
          </w:p>
        </w:tc>
      </w:tr>
      <w:tr>
        <w:trPr>
          <w:trHeight w:val="232" w:hRule="atLeast"/>
        </w:trPr>
        <w:tc>
          <w:tcPr>
            <w:tcW w:w="6577" w:type="dxa"/>
          </w:tcPr>
          <w:p>
            <w:pPr>
              <w:pStyle w:val="TableParagraph"/>
              <w:rPr>
                <w:sz w:val="20"/>
              </w:rPr>
            </w:pPr>
            <w:r>
              <w:rPr>
                <w:sz w:val="20"/>
              </w:rPr>
              <w:t>Replace door handle set</w:t>
            </w:r>
          </w:p>
        </w:tc>
        <w:tc>
          <w:tcPr>
            <w:tcW w:w="2600" w:type="dxa"/>
          </w:tcPr>
          <w:p>
            <w:pPr>
              <w:pStyle w:val="TableParagraph"/>
              <w:rPr>
                <w:sz w:val="20"/>
              </w:rPr>
            </w:pPr>
            <w:r>
              <w:rPr>
                <w:sz w:val="20"/>
              </w:rPr>
              <w:t>£35.18</w:t>
            </w:r>
          </w:p>
        </w:tc>
      </w:tr>
      <w:tr>
        <w:trPr>
          <w:trHeight w:val="230" w:hRule="atLeast"/>
        </w:trPr>
        <w:tc>
          <w:tcPr>
            <w:tcW w:w="6577" w:type="dxa"/>
          </w:tcPr>
          <w:p>
            <w:pPr>
              <w:pStyle w:val="TableParagraph"/>
              <w:spacing w:line="210" w:lineRule="exact"/>
              <w:rPr>
                <w:sz w:val="20"/>
              </w:rPr>
            </w:pPr>
            <w:r>
              <w:rPr>
                <w:sz w:val="20"/>
              </w:rPr>
              <w:t>Replace cupboard handle</w:t>
            </w:r>
          </w:p>
        </w:tc>
        <w:tc>
          <w:tcPr>
            <w:tcW w:w="2600" w:type="dxa"/>
          </w:tcPr>
          <w:p>
            <w:pPr>
              <w:pStyle w:val="TableParagraph"/>
              <w:spacing w:line="210" w:lineRule="exact"/>
              <w:rPr>
                <w:sz w:val="20"/>
              </w:rPr>
            </w:pPr>
            <w:r>
              <w:rPr>
                <w:sz w:val="20"/>
              </w:rPr>
              <w:t>£13</w:t>
            </w:r>
          </w:p>
        </w:tc>
      </w:tr>
      <w:tr>
        <w:trPr>
          <w:trHeight w:val="232" w:hRule="atLeast"/>
        </w:trPr>
        <w:tc>
          <w:tcPr>
            <w:tcW w:w="6577" w:type="dxa"/>
          </w:tcPr>
          <w:p>
            <w:pPr>
              <w:pStyle w:val="TableParagraph"/>
              <w:rPr>
                <w:sz w:val="20"/>
              </w:rPr>
            </w:pPr>
            <w:r>
              <w:rPr>
                <w:sz w:val="20"/>
              </w:rPr>
              <w:t>Replace kitchen base unit door</w:t>
            </w:r>
          </w:p>
        </w:tc>
        <w:tc>
          <w:tcPr>
            <w:tcW w:w="2600" w:type="dxa"/>
          </w:tcPr>
          <w:p>
            <w:pPr>
              <w:pStyle w:val="TableParagraph"/>
              <w:rPr>
                <w:sz w:val="20"/>
              </w:rPr>
            </w:pPr>
            <w:r>
              <w:rPr>
                <w:sz w:val="20"/>
              </w:rPr>
              <w:t>£70</w:t>
            </w:r>
          </w:p>
        </w:tc>
      </w:tr>
      <w:tr>
        <w:trPr>
          <w:trHeight w:val="232" w:hRule="atLeast"/>
        </w:trPr>
        <w:tc>
          <w:tcPr>
            <w:tcW w:w="6577" w:type="dxa"/>
          </w:tcPr>
          <w:p>
            <w:pPr>
              <w:pStyle w:val="TableParagraph"/>
              <w:rPr>
                <w:sz w:val="20"/>
              </w:rPr>
            </w:pPr>
            <w:r>
              <w:rPr>
                <w:sz w:val="20"/>
              </w:rPr>
              <w:t>Replace kitchen drawer</w:t>
            </w:r>
          </w:p>
        </w:tc>
        <w:tc>
          <w:tcPr>
            <w:tcW w:w="2600" w:type="dxa"/>
          </w:tcPr>
          <w:p>
            <w:pPr>
              <w:pStyle w:val="TableParagraph"/>
              <w:rPr>
                <w:sz w:val="20"/>
              </w:rPr>
            </w:pPr>
            <w:r>
              <w:rPr>
                <w:sz w:val="20"/>
              </w:rPr>
              <w:t>£65</w:t>
            </w:r>
          </w:p>
        </w:tc>
      </w:tr>
      <w:tr>
        <w:trPr>
          <w:trHeight w:val="232" w:hRule="atLeast"/>
        </w:trPr>
        <w:tc>
          <w:tcPr>
            <w:tcW w:w="6577" w:type="dxa"/>
          </w:tcPr>
          <w:p>
            <w:pPr>
              <w:pStyle w:val="TableParagraph"/>
              <w:rPr>
                <w:sz w:val="20"/>
              </w:rPr>
            </w:pPr>
            <w:r>
              <w:rPr>
                <w:sz w:val="20"/>
              </w:rPr>
              <w:t>Replace kitchen drawer front</w:t>
            </w:r>
          </w:p>
        </w:tc>
        <w:tc>
          <w:tcPr>
            <w:tcW w:w="2600" w:type="dxa"/>
          </w:tcPr>
          <w:p>
            <w:pPr>
              <w:pStyle w:val="TableParagraph"/>
              <w:rPr>
                <w:sz w:val="20"/>
              </w:rPr>
            </w:pPr>
            <w:r>
              <w:rPr>
                <w:sz w:val="20"/>
              </w:rPr>
              <w:t>£65</w:t>
            </w:r>
          </w:p>
        </w:tc>
      </w:tr>
      <w:tr>
        <w:trPr>
          <w:trHeight w:val="232" w:hRule="atLeast"/>
        </w:trPr>
        <w:tc>
          <w:tcPr>
            <w:tcW w:w="6577" w:type="dxa"/>
          </w:tcPr>
          <w:p>
            <w:pPr>
              <w:pStyle w:val="TableParagraph"/>
              <w:rPr>
                <w:sz w:val="20"/>
              </w:rPr>
            </w:pPr>
            <w:r>
              <w:rPr>
                <w:sz w:val="20"/>
              </w:rPr>
              <w:t>Replace a bath panel</w:t>
            </w:r>
          </w:p>
        </w:tc>
        <w:tc>
          <w:tcPr>
            <w:tcW w:w="2600" w:type="dxa"/>
          </w:tcPr>
          <w:p>
            <w:pPr>
              <w:pStyle w:val="TableParagraph"/>
              <w:rPr>
                <w:sz w:val="20"/>
              </w:rPr>
            </w:pPr>
            <w:r>
              <w:rPr>
                <w:sz w:val="20"/>
              </w:rPr>
              <w:t>£50</w:t>
            </w:r>
          </w:p>
        </w:tc>
      </w:tr>
      <w:tr>
        <w:trPr>
          <w:trHeight w:val="232" w:hRule="atLeast"/>
        </w:trPr>
        <w:tc>
          <w:tcPr>
            <w:tcW w:w="6577" w:type="dxa"/>
          </w:tcPr>
          <w:p>
            <w:pPr>
              <w:pStyle w:val="TableParagraph"/>
              <w:rPr>
                <w:sz w:val="20"/>
              </w:rPr>
            </w:pPr>
            <w:r>
              <w:rPr>
                <w:sz w:val="20"/>
              </w:rPr>
              <w:t>Replace shed locks</w:t>
            </w:r>
          </w:p>
        </w:tc>
        <w:tc>
          <w:tcPr>
            <w:tcW w:w="2600" w:type="dxa"/>
          </w:tcPr>
          <w:p>
            <w:pPr>
              <w:pStyle w:val="TableParagraph"/>
              <w:rPr>
                <w:sz w:val="20"/>
              </w:rPr>
            </w:pPr>
            <w:r>
              <w:rPr>
                <w:sz w:val="20"/>
              </w:rPr>
              <w:t>£50</w:t>
            </w:r>
          </w:p>
        </w:tc>
      </w:tr>
      <w:tr>
        <w:trPr>
          <w:trHeight w:val="232" w:hRule="atLeast"/>
        </w:trPr>
        <w:tc>
          <w:tcPr>
            <w:tcW w:w="6577" w:type="dxa"/>
          </w:tcPr>
          <w:p>
            <w:pPr>
              <w:pStyle w:val="TableParagraph"/>
              <w:rPr>
                <w:sz w:val="20"/>
              </w:rPr>
            </w:pPr>
            <w:r>
              <w:rPr>
                <w:sz w:val="20"/>
              </w:rPr>
              <w:t>Repair holes in ceiling or walls</w:t>
            </w:r>
          </w:p>
        </w:tc>
        <w:tc>
          <w:tcPr>
            <w:tcW w:w="2600" w:type="dxa"/>
          </w:tcPr>
          <w:p>
            <w:pPr>
              <w:pStyle w:val="TableParagraph"/>
              <w:rPr>
                <w:sz w:val="20"/>
              </w:rPr>
            </w:pPr>
            <w:r>
              <w:rPr>
                <w:sz w:val="20"/>
              </w:rPr>
              <w:t>£45 (minimum)</w:t>
            </w:r>
          </w:p>
        </w:tc>
      </w:tr>
      <w:tr>
        <w:trPr>
          <w:trHeight w:val="232" w:hRule="atLeast"/>
        </w:trPr>
        <w:tc>
          <w:tcPr>
            <w:tcW w:w="6577" w:type="dxa"/>
          </w:tcPr>
          <w:p>
            <w:pPr>
              <w:pStyle w:val="TableParagraph"/>
              <w:rPr>
                <w:sz w:val="20"/>
              </w:rPr>
            </w:pPr>
            <w:r>
              <w:rPr>
                <w:sz w:val="20"/>
              </w:rPr>
              <w:t>Replace a mains smoke alarm</w:t>
            </w:r>
          </w:p>
        </w:tc>
        <w:tc>
          <w:tcPr>
            <w:tcW w:w="2600" w:type="dxa"/>
          </w:tcPr>
          <w:p>
            <w:pPr>
              <w:pStyle w:val="TableParagraph"/>
              <w:rPr>
                <w:sz w:val="20"/>
              </w:rPr>
            </w:pPr>
            <w:r>
              <w:rPr>
                <w:sz w:val="20"/>
              </w:rPr>
              <w:t>£85</w:t>
            </w:r>
          </w:p>
        </w:tc>
      </w:tr>
      <w:tr>
        <w:trPr>
          <w:trHeight w:val="232" w:hRule="atLeast"/>
        </w:trPr>
        <w:tc>
          <w:tcPr>
            <w:tcW w:w="6577" w:type="dxa"/>
          </w:tcPr>
          <w:p>
            <w:pPr>
              <w:pStyle w:val="TableParagraph"/>
              <w:rPr>
                <w:sz w:val="20"/>
              </w:rPr>
            </w:pPr>
            <w:r>
              <w:rPr>
                <w:sz w:val="20"/>
              </w:rPr>
              <w:t>Replace a surface socket and box</w:t>
            </w:r>
          </w:p>
        </w:tc>
        <w:tc>
          <w:tcPr>
            <w:tcW w:w="2600" w:type="dxa"/>
          </w:tcPr>
          <w:p>
            <w:pPr>
              <w:pStyle w:val="TableParagraph"/>
              <w:rPr>
                <w:sz w:val="20"/>
              </w:rPr>
            </w:pPr>
            <w:r>
              <w:rPr>
                <w:sz w:val="20"/>
              </w:rPr>
              <w:t>£25</w:t>
            </w:r>
          </w:p>
        </w:tc>
      </w:tr>
      <w:tr>
        <w:trPr>
          <w:trHeight w:val="465" w:hRule="atLeast"/>
        </w:trPr>
        <w:tc>
          <w:tcPr>
            <w:tcW w:w="6577" w:type="dxa"/>
          </w:tcPr>
          <w:p>
            <w:pPr>
              <w:pStyle w:val="TableParagraph"/>
              <w:spacing w:line="232" w:lineRule="exact" w:before="1"/>
              <w:rPr>
                <w:sz w:val="20"/>
              </w:rPr>
            </w:pPr>
            <w:r>
              <w:rPr>
                <w:sz w:val="20"/>
              </w:rPr>
              <w:t>Disconnect (but not remove) a cooker, oven, or other electrical appliance</w:t>
            </w:r>
          </w:p>
        </w:tc>
        <w:tc>
          <w:tcPr>
            <w:tcW w:w="2600" w:type="dxa"/>
          </w:tcPr>
          <w:p>
            <w:pPr>
              <w:pStyle w:val="TableParagraph"/>
              <w:spacing w:line="231" w:lineRule="exact"/>
              <w:rPr>
                <w:sz w:val="20"/>
              </w:rPr>
            </w:pPr>
            <w:r>
              <w:rPr>
                <w:sz w:val="20"/>
              </w:rPr>
              <w:t>£25 per appliance</w:t>
            </w:r>
          </w:p>
        </w:tc>
      </w:tr>
      <w:tr>
        <w:trPr>
          <w:trHeight w:val="232" w:hRule="atLeast"/>
        </w:trPr>
        <w:tc>
          <w:tcPr>
            <w:tcW w:w="6577" w:type="dxa"/>
          </w:tcPr>
          <w:p>
            <w:pPr>
              <w:pStyle w:val="TableParagraph"/>
              <w:rPr>
                <w:sz w:val="20"/>
              </w:rPr>
            </w:pPr>
            <w:r>
              <w:rPr>
                <w:sz w:val="20"/>
              </w:rPr>
              <w:t>Replace double glazed unit</w:t>
            </w:r>
          </w:p>
        </w:tc>
        <w:tc>
          <w:tcPr>
            <w:tcW w:w="2600" w:type="dxa"/>
          </w:tcPr>
          <w:p>
            <w:pPr>
              <w:pStyle w:val="TableParagraph"/>
              <w:rPr>
                <w:sz w:val="20"/>
              </w:rPr>
            </w:pPr>
            <w:r>
              <w:rPr>
                <w:sz w:val="20"/>
              </w:rPr>
              <w:t>Quotable</w:t>
            </w:r>
          </w:p>
        </w:tc>
      </w:tr>
    </w:tbl>
    <w:p>
      <w:pPr>
        <w:pStyle w:val="BodyText"/>
      </w:pPr>
    </w:p>
    <w:p>
      <w:pPr>
        <w:spacing w:before="131"/>
        <w:ind w:left="234" w:right="0" w:firstLine="0"/>
        <w:jc w:val="left"/>
        <w:rPr>
          <w:sz w:val="20"/>
        </w:rPr>
      </w:pPr>
      <w:r>
        <w:rPr>
          <w:sz w:val="20"/>
        </w:rPr>
        <w:t>All prices are inclusive of VAT and admin.</w:t>
      </w:r>
    </w:p>
    <w:p>
      <w:pPr>
        <w:spacing w:before="154"/>
        <w:ind w:left="234" w:right="0" w:firstLine="0"/>
        <w:jc w:val="left"/>
        <w:rPr>
          <w:b/>
          <w:sz w:val="20"/>
        </w:rPr>
      </w:pPr>
      <w:r>
        <w:rPr>
          <w:b/>
          <w:sz w:val="20"/>
        </w:rPr>
        <w:t>REMOVING RUBBISH</w:t>
      </w:r>
    </w:p>
    <w:p>
      <w:pPr>
        <w:spacing w:before="36"/>
        <w:ind w:left="234" w:right="0" w:firstLine="0"/>
        <w:jc w:val="left"/>
        <w:rPr>
          <w:sz w:val="20"/>
        </w:rPr>
      </w:pPr>
      <w:r>
        <w:rPr>
          <w:sz w:val="20"/>
        </w:rPr>
        <w:t>Please place only normal household waste in refuse bins and do not over-fill.</w:t>
      </w:r>
    </w:p>
    <w:p>
      <w:pPr>
        <w:spacing w:line="276" w:lineRule="auto" w:before="155"/>
        <w:ind w:left="234" w:right="231" w:firstLine="0"/>
        <w:jc w:val="both"/>
        <w:rPr>
          <w:sz w:val="20"/>
        </w:rPr>
      </w:pPr>
      <w:r>
        <w:rPr>
          <w:sz w:val="20"/>
        </w:rPr>
        <w:t>Your local authority may be able to provide a rubbish collection service for large items – Please contact them for more details.</w:t>
      </w:r>
    </w:p>
    <w:p>
      <w:pPr>
        <w:pStyle w:val="BodyText"/>
        <w:spacing w:before="3"/>
        <w:rPr>
          <w:sz w:val="10"/>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2"/>
        <w:gridCol w:w="4585"/>
      </w:tblGrid>
      <w:tr>
        <w:trPr>
          <w:trHeight w:val="232" w:hRule="atLeast"/>
        </w:trPr>
        <w:tc>
          <w:tcPr>
            <w:tcW w:w="4592" w:type="dxa"/>
          </w:tcPr>
          <w:p>
            <w:pPr>
              <w:pStyle w:val="TableParagraph"/>
              <w:rPr>
                <w:sz w:val="20"/>
              </w:rPr>
            </w:pPr>
            <w:r>
              <w:rPr>
                <w:sz w:val="20"/>
              </w:rPr>
              <w:t>St Edmundsbury District Council</w:t>
            </w:r>
          </w:p>
        </w:tc>
        <w:tc>
          <w:tcPr>
            <w:tcW w:w="4585" w:type="dxa"/>
          </w:tcPr>
          <w:p>
            <w:pPr>
              <w:pStyle w:val="TableParagraph"/>
              <w:rPr>
                <w:sz w:val="20"/>
              </w:rPr>
            </w:pPr>
            <w:r>
              <w:rPr>
                <w:sz w:val="20"/>
              </w:rPr>
              <w:t>01284 763233</w:t>
            </w:r>
          </w:p>
        </w:tc>
      </w:tr>
      <w:tr>
        <w:trPr>
          <w:trHeight w:val="232" w:hRule="atLeast"/>
        </w:trPr>
        <w:tc>
          <w:tcPr>
            <w:tcW w:w="4592" w:type="dxa"/>
          </w:tcPr>
          <w:p>
            <w:pPr>
              <w:pStyle w:val="TableParagraph"/>
              <w:rPr>
                <w:sz w:val="20"/>
              </w:rPr>
            </w:pPr>
            <w:r>
              <w:rPr>
                <w:sz w:val="20"/>
              </w:rPr>
              <w:t>Mid Suffolk District Council</w:t>
            </w:r>
          </w:p>
        </w:tc>
        <w:tc>
          <w:tcPr>
            <w:tcW w:w="4585" w:type="dxa"/>
          </w:tcPr>
          <w:p>
            <w:pPr>
              <w:pStyle w:val="TableParagraph"/>
              <w:rPr>
                <w:sz w:val="20"/>
              </w:rPr>
            </w:pPr>
            <w:r>
              <w:rPr>
                <w:sz w:val="20"/>
              </w:rPr>
              <w:t>0845 606 6170</w:t>
            </w:r>
          </w:p>
        </w:tc>
      </w:tr>
      <w:tr>
        <w:trPr>
          <w:trHeight w:val="232" w:hRule="atLeast"/>
        </w:trPr>
        <w:tc>
          <w:tcPr>
            <w:tcW w:w="4592" w:type="dxa"/>
          </w:tcPr>
          <w:p>
            <w:pPr>
              <w:pStyle w:val="TableParagraph"/>
              <w:rPr>
                <w:sz w:val="20"/>
              </w:rPr>
            </w:pPr>
            <w:r>
              <w:rPr>
                <w:sz w:val="20"/>
              </w:rPr>
              <w:t>South Cambs District Council</w:t>
            </w:r>
          </w:p>
        </w:tc>
        <w:tc>
          <w:tcPr>
            <w:tcW w:w="4585" w:type="dxa"/>
          </w:tcPr>
          <w:p>
            <w:pPr>
              <w:pStyle w:val="TableParagraph"/>
              <w:rPr>
                <w:sz w:val="20"/>
              </w:rPr>
            </w:pPr>
            <w:r>
              <w:rPr>
                <w:sz w:val="20"/>
              </w:rPr>
              <w:t>0845 609 5438</w:t>
            </w:r>
          </w:p>
        </w:tc>
      </w:tr>
      <w:tr>
        <w:trPr>
          <w:trHeight w:val="232" w:hRule="atLeast"/>
        </w:trPr>
        <w:tc>
          <w:tcPr>
            <w:tcW w:w="4592" w:type="dxa"/>
          </w:tcPr>
          <w:p>
            <w:pPr>
              <w:pStyle w:val="TableParagraph"/>
              <w:rPr>
                <w:sz w:val="20"/>
              </w:rPr>
            </w:pPr>
            <w:r>
              <w:rPr>
                <w:sz w:val="20"/>
              </w:rPr>
              <w:t>Breckland District Council</w:t>
            </w:r>
          </w:p>
        </w:tc>
        <w:tc>
          <w:tcPr>
            <w:tcW w:w="4585" w:type="dxa"/>
          </w:tcPr>
          <w:p>
            <w:pPr>
              <w:pStyle w:val="TableParagraph"/>
              <w:rPr>
                <w:sz w:val="20"/>
              </w:rPr>
            </w:pPr>
            <w:r>
              <w:rPr>
                <w:sz w:val="20"/>
              </w:rPr>
              <w:t>01362 656 870</w:t>
            </w:r>
          </w:p>
        </w:tc>
      </w:tr>
      <w:tr>
        <w:trPr>
          <w:trHeight w:val="232" w:hRule="atLeast"/>
        </w:trPr>
        <w:tc>
          <w:tcPr>
            <w:tcW w:w="4592" w:type="dxa"/>
          </w:tcPr>
          <w:p>
            <w:pPr>
              <w:pStyle w:val="TableParagraph"/>
              <w:rPr>
                <w:sz w:val="20"/>
              </w:rPr>
            </w:pPr>
            <w:r>
              <w:rPr>
                <w:sz w:val="20"/>
              </w:rPr>
              <w:t>Forest Heath District Council</w:t>
            </w:r>
          </w:p>
        </w:tc>
        <w:tc>
          <w:tcPr>
            <w:tcW w:w="4585" w:type="dxa"/>
          </w:tcPr>
          <w:p>
            <w:pPr>
              <w:pStyle w:val="TableParagraph"/>
              <w:rPr>
                <w:sz w:val="20"/>
              </w:rPr>
            </w:pPr>
            <w:r>
              <w:rPr>
                <w:sz w:val="20"/>
              </w:rPr>
              <w:t>01638 719000</w:t>
            </w:r>
          </w:p>
        </w:tc>
      </w:tr>
    </w:tbl>
    <w:p>
      <w:pPr>
        <w:spacing w:after="0"/>
        <w:rPr>
          <w:sz w:val="20"/>
        </w:rPr>
        <w:sectPr>
          <w:pgSz w:w="11910" w:h="16850"/>
          <w:pgMar w:header="375" w:footer="878" w:top="1940" w:bottom="1060" w:left="1240" w:right="1240"/>
        </w:sectPr>
      </w:pPr>
    </w:p>
    <w:p>
      <w:pPr>
        <w:pStyle w:val="BodyText"/>
        <w:spacing w:before="6"/>
        <w:rPr>
          <w:sz w:val="16"/>
        </w:rPr>
      </w:pPr>
    </w:p>
    <w:p>
      <w:pPr>
        <w:pStyle w:val="Heading1"/>
        <w:spacing w:before="101"/>
        <w:jc w:val="left"/>
      </w:pPr>
      <w:r>
        <w:rPr/>
        <w:t>GIVING NOTICE</w:t>
      </w:r>
    </w:p>
    <w:p>
      <w:pPr>
        <w:pStyle w:val="BodyText"/>
        <w:spacing w:before="42"/>
        <w:ind w:left="234"/>
      </w:pPr>
      <w:r>
        <w:rPr/>
        <w:t>Please complete and return the Termination of Tenancy on Death of Tenant form.</w:t>
      </w:r>
    </w:p>
    <w:p>
      <w:pPr>
        <w:pStyle w:val="BodyText"/>
        <w:spacing w:before="2"/>
        <w:rPr>
          <w:sz w:val="20"/>
        </w:rPr>
      </w:pPr>
    </w:p>
    <w:p>
      <w:pPr>
        <w:pStyle w:val="BodyText"/>
        <w:spacing w:line="278" w:lineRule="auto"/>
        <w:ind w:left="234" w:right="234"/>
        <w:jc w:val="both"/>
      </w:pPr>
      <w:r>
        <w:rPr/>
        <w:t>We will agree the date and time the tenancy ends. We need at least four weeks’ notice and the tenancy must end on a Sunday, if you need to change the agreed date you must contact us and give us a further seven days’ notice.</w:t>
      </w:r>
    </w:p>
    <w:p>
      <w:pPr>
        <w:pStyle w:val="Heading1"/>
        <w:spacing w:before="194"/>
      </w:pPr>
      <w:r>
        <w:rPr/>
        <w:t>THE CONDITION OF THE PROPERTY</w:t>
      </w:r>
    </w:p>
    <w:p>
      <w:pPr>
        <w:pStyle w:val="BodyText"/>
        <w:spacing w:line="280" w:lineRule="auto" w:before="37"/>
        <w:ind w:left="234" w:right="227"/>
        <w:jc w:val="both"/>
      </w:pPr>
      <w:r>
        <w:rPr/>
        <w:t>(Remember to leave the property in a good clean condition as any damage will be re- charged to the estate).</w:t>
      </w:r>
    </w:p>
    <w:p>
      <w:pPr>
        <w:pStyle w:val="Heading1"/>
        <w:spacing w:before="190"/>
        <w:jc w:val="left"/>
      </w:pPr>
      <w:r>
        <w:rPr/>
        <w:t>Inside the property</w:t>
      </w:r>
    </w:p>
    <w:p>
      <w:pPr>
        <w:pStyle w:val="ListParagraph"/>
        <w:numPr>
          <w:ilvl w:val="0"/>
          <w:numId w:val="1"/>
        </w:numPr>
        <w:tabs>
          <w:tab w:pos="953" w:val="left" w:leader="none"/>
          <w:tab w:pos="954" w:val="left" w:leader="none"/>
        </w:tabs>
        <w:spacing w:line="240" w:lineRule="auto" w:before="40" w:after="0"/>
        <w:ind w:left="954" w:right="0" w:hanging="360"/>
        <w:jc w:val="left"/>
        <w:rPr>
          <w:rFonts w:ascii="Symbol" w:hAnsi="Symbol"/>
          <w:sz w:val="22"/>
        </w:rPr>
      </w:pPr>
      <w:r>
        <w:rPr>
          <w:sz w:val="22"/>
        </w:rPr>
        <w:t>Windows should be clean inside and out and</w:t>
      </w:r>
      <w:r>
        <w:rPr>
          <w:spacing w:val="-8"/>
          <w:sz w:val="22"/>
        </w:rPr>
        <w:t> </w:t>
      </w:r>
      <w:r>
        <w:rPr>
          <w:sz w:val="22"/>
        </w:rPr>
        <w:t>secure;</w:t>
      </w:r>
    </w:p>
    <w:p>
      <w:pPr>
        <w:pStyle w:val="ListParagraph"/>
        <w:numPr>
          <w:ilvl w:val="0"/>
          <w:numId w:val="1"/>
        </w:numPr>
        <w:tabs>
          <w:tab w:pos="953" w:val="left" w:leader="none"/>
          <w:tab w:pos="954" w:val="left" w:leader="none"/>
        </w:tabs>
        <w:spacing w:line="269" w:lineRule="exact" w:before="1" w:after="0"/>
        <w:ind w:left="954" w:right="0" w:hanging="360"/>
        <w:jc w:val="left"/>
        <w:rPr>
          <w:rFonts w:ascii="Symbol" w:hAnsi="Symbol"/>
          <w:sz w:val="22"/>
        </w:rPr>
      </w:pPr>
      <w:r>
        <w:rPr>
          <w:sz w:val="22"/>
        </w:rPr>
        <w:t>Curtains, blinds, tracks and poles may be left if they are in good</w:t>
      </w:r>
      <w:r>
        <w:rPr>
          <w:spacing w:val="-22"/>
          <w:sz w:val="22"/>
        </w:rPr>
        <w:t> </w:t>
      </w:r>
      <w:r>
        <w:rPr>
          <w:sz w:val="22"/>
        </w:rPr>
        <w:t>condition;</w:t>
      </w:r>
    </w:p>
    <w:p>
      <w:pPr>
        <w:pStyle w:val="ListParagraph"/>
        <w:numPr>
          <w:ilvl w:val="0"/>
          <w:numId w:val="1"/>
        </w:numPr>
        <w:tabs>
          <w:tab w:pos="953" w:val="left" w:leader="none"/>
          <w:tab w:pos="954" w:val="left" w:leader="none"/>
        </w:tabs>
        <w:spacing w:line="269" w:lineRule="exact" w:before="0" w:after="0"/>
        <w:ind w:left="954" w:right="0" w:hanging="360"/>
        <w:jc w:val="left"/>
        <w:rPr>
          <w:rFonts w:ascii="Symbol" w:hAnsi="Symbol"/>
          <w:sz w:val="22"/>
        </w:rPr>
      </w:pPr>
      <w:r>
        <w:rPr>
          <w:sz w:val="22"/>
        </w:rPr>
        <w:t>External doors should be undamaged and</w:t>
      </w:r>
      <w:r>
        <w:rPr>
          <w:spacing w:val="-3"/>
          <w:sz w:val="22"/>
        </w:rPr>
        <w:t> </w:t>
      </w:r>
      <w:r>
        <w:rPr>
          <w:sz w:val="22"/>
        </w:rPr>
        <w:t>secure;</w:t>
      </w:r>
    </w:p>
    <w:p>
      <w:pPr>
        <w:pStyle w:val="ListParagraph"/>
        <w:numPr>
          <w:ilvl w:val="0"/>
          <w:numId w:val="1"/>
        </w:numPr>
        <w:tabs>
          <w:tab w:pos="953" w:val="left" w:leader="none"/>
          <w:tab w:pos="954" w:val="left" w:leader="none"/>
        </w:tabs>
        <w:spacing w:line="270" w:lineRule="exact" w:before="1" w:after="0"/>
        <w:ind w:left="954" w:right="0" w:hanging="360"/>
        <w:jc w:val="left"/>
        <w:rPr>
          <w:rFonts w:ascii="Symbol" w:hAnsi="Symbol"/>
          <w:sz w:val="22"/>
        </w:rPr>
      </w:pPr>
      <w:r>
        <w:rPr>
          <w:sz w:val="22"/>
        </w:rPr>
        <w:t>Ceilings</w:t>
      </w:r>
      <w:r>
        <w:rPr>
          <w:spacing w:val="43"/>
          <w:sz w:val="22"/>
        </w:rPr>
        <w:t> </w:t>
      </w:r>
      <w:r>
        <w:rPr>
          <w:sz w:val="22"/>
        </w:rPr>
        <w:t>and</w:t>
      </w:r>
      <w:r>
        <w:rPr>
          <w:spacing w:val="43"/>
          <w:sz w:val="22"/>
        </w:rPr>
        <w:t> </w:t>
      </w:r>
      <w:r>
        <w:rPr>
          <w:sz w:val="22"/>
        </w:rPr>
        <w:t>walls</w:t>
      </w:r>
      <w:r>
        <w:rPr>
          <w:spacing w:val="44"/>
          <w:sz w:val="22"/>
        </w:rPr>
        <w:t> </w:t>
      </w:r>
      <w:r>
        <w:rPr>
          <w:sz w:val="22"/>
        </w:rPr>
        <w:t>must</w:t>
      </w:r>
      <w:r>
        <w:rPr>
          <w:spacing w:val="46"/>
          <w:sz w:val="22"/>
        </w:rPr>
        <w:t> </w:t>
      </w:r>
      <w:r>
        <w:rPr>
          <w:sz w:val="22"/>
        </w:rPr>
        <w:t>be</w:t>
      </w:r>
      <w:r>
        <w:rPr>
          <w:spacing w:val="44"/>
          <w:sz w:val="22"/>
        </w:rPr>
        <w:t> </w:t>
      </w:r>
      <w:r>
        <w:rPr>
          <w:sz w:val="22"/>
        </w:rPr>
        <w:t>free</w:t>
      </w:r>
      <w:r>
        <w:rPr>
          <w:spacing w:val="45"/>
          <w:sz w:val="22"/>
        </w:rPr>
        <w:t> </w:t>
      </w:r>
      <w:r>
        <w:rPr>
          <w:sz w:val="22"/>
        </w:rPr>
        <w:t>of</w:t>
      </w:r>
      <w:r>
        <w:rPr>
          <w:spacing w:val="45"/>
          <w:sz w:val="22"/>
        </w:rPr>
        <w:t> </w:t>
      </w:r>
      <w:r>
        <w:rPr>
          <w:sz w:val="22"/>
        </w:rPr>
        <w:t>dust,</w:t>
      </w:r>
      <w:r>
        <w:rPr>
          <w:spacing w:val="45"/>
          <w:sz w:val="22"/>
        </w:rPr>
        <w:t> </w:t>
      </w:r>
      <w:r>
        <w:rPr>
          <w:sz w:val="22"/>
        </w:rPr>
        <w:t>graffiti,</w:t>
      </w:r>
      <w:r>
        <w:rPr>
          <w:spacing w:val="44"/>
          <w:sz w:val="22"/>
        </w:rPr>
        <w:t> </w:t>
      </w:r>
      <w:r>
        <w:rPr>
          <w:sz w:val="22"/>
        </w:rPr>
        <w:t>drawing</w:t>
      </w:r>
      <w:r>
        <w:rPr>
          <w:spacing w:val="43"/>
          <w:sz w:val="22"/>
        </w:rPr>
        <w:t> </w:t>
      </w:r>
      <w:r>
        <w:rPr>
          <w:sz w:val="22"/>
        </w:rPr>
        <w:t>pins,</w:t>
      </w:r>
      <w:r>
        <w:rPr>
          <w:spacing w:val="45"/>
          <w:sz w:val="22"/>
        </w:rPr>
        <w:t> </w:t>
      </w:r>
      <w:r>
        <w:rPr>
          <w:sz w:val="22"/>
        </w:rPr>
        <w:t>hooks</w:t>
      </w:r>
      <w:r>
        <w:rPr>
          <w:spacing w:val="46"/>
          <w:sz w:val="22"/>
        </w:rPr>
        <w:t> </w:t>
      </w:r>
      <w:r>
        <w:rPr>
          <w:sz w:val="22"/>
        </w:rPr>
        <w:t>and</w:t>
      </w:r>
      <w:r>
        <w:rPr>
          <w:spacing w:val="43"/>
          <w:sz w:val="22"/>
        </w:rPr>
        <w:t> </w:t>
      </w:r>
      <w:r>
        <w:rPr>
          <w:sz w:val="22"/>
        </w:rPr>
        <w:t>Blu-</w:t>
      </w:r>
    </w:p>
    <w:p>
      <w:pPr>
        <w:pStyle w:val="BodyText"/>
        <w:spacing w:line="255" w:lineRule="exact"/>
        <w:ind w:left="954"/>
      </w:pPr>
      <w:r>
        <w:rPr/>
        <w:t>tack™;</w:t>
      </w:r>
    </w:p>
    <w:p>
      <w:pPr>
        <w:pStyle w:val="ListParagraph"/>
        <w:numPr>
          <w:ilvl w:val="0"/>
          <w:numId w:val="1"/>
        </w:numPr>
        <w:tabs>
          <w:tab w:pos="953" w:val="left" w:leader="none"/>
          <w:tab w:pos="954" w:val="left" w:leader="none"/>
        </w:tabs>
        <w:spacing w:line="240" w:lineRule="auto" w:before="1" w:after="0"/>
        <w:ind w:left="954" w:right="227" w:hanging="360"/>
        <w:jc w:val="left"/>
        <w:rPr>
          <w:rFonts w:ascii="Symbol" w:hAnsi="Symbol"/>
          <w:sz w:val="22"/>
        </w:rPr>
      </w:pPr>
      <w:r>
        <w:rPr>
          <w:sz w:val="22"/>
        </w:rPr>
        <w:t>Walls and ceilings must be in good condition, any holes caused by fixings must be filled;</w:t>
      </w:r>
    </w:p>
    <w:p>
      <w:pPr>
        <w:pStyle w:val="ListParagraph"/>
        <w:numPr>
          <w:ilvl w:val="0"/>
          <w:numId w:val="1"/>
        </w:numPr>
        <w:tabs>
          <w:tab w:pos="953" w:val="left" w:leader="none"/>
          <w:tab w:pos="954" w:val="left" w:leader="none"/>
        </w:tabs>
        <w:spacing w:line="269" w:lineRule="exact" w:before="0" w:after="0"/>
        <w:ind w:left="954" w:right="0" w:hanging="360"/>
        <w:jc w:val="left"/>
        <w:rPr>
          <w:rFonts w:ascii="Symbol" w:hAnsi="Symbol"/>
          <w:sz w:val="22"/>
        </w:rPr>
      </w:pPr>
      <w:r>
        <w:rPr>
          <w:sz w:val="22"/>
        </w:rPr>
        <w:t>A wooden undamaged door must be fitted to each</w:t>
      </w:r>
      <w:r>
        <w:rPr>
          <w:spacing w:val="-6"/>
          <w:sz w:val="22"/>
        </w:rPr>
        <w:t> </w:t>
      </w:r>
      <w:r>
        <w:rPr>
          <w:sz w:val="22"/>
        </w:rPr>
        <w:t>room;</w:t>
      </w:r>
    </w:p>
    <w:p>
      <w:pPr>
        <w:pStyle w:val="ListParagraph"/>
        <w:numPr>
          <w:ilvl w:val="0"/>
          <w:numId w:val="1"/>
        </w:numPr>
        <w:tabs>
          <w:tab w:pos="954" w:val="left" w:leader="none"/>
        </w:tabs>
        <w:spacing w:line="240" w:lineRule="auto" w:before="0" w:after="0"/>
        <w:ind w:left="954" w:right="233" w:hanging="360"/>
        <w:jc w:val="both"/>
        <w:rPr>
          <w:rFonts w:ascii="Symbol" w:hAnsi="Symbol"/>
          <w:sz w:val="22"/>
        </w:rPr>
      </w:pPr>
      <w:r>
        <w:rPr>
          <w:sz w:val="22"/>
        </w:rPr>
        <w:t>Laminate flooring subject to permission having been granted to install the flooring, may be left if not soiled, stained or damaged. We will confirm this with you when we inspect the</w:t>
      </w:r>
      <w:r>
        <w:rPr>
          <w:spacing w:val="-3"/>
          <w:sz w:val="22"/>
        </w:rPr>
        <w:t> </w:t>
      </w:r>
      <w:r>
        <w:rPr>
          <w:sz w:val="22"/>
        </w:rPr>
        <w:t>property;</w:t>
      </w:r>
    </w:p>
    <w:p>
      <w:pPr>
        <w:pStyle w:val="ListParagraph"/>
        <w:numPr>
          <w:ilvl w:val="0"/>
          <w:numId w:val="1"/>
        </w:numPr>
        <w:tabs>
          <w:tab w:pos="954" w:val="left" w:leader="none"/>
        </w:tabs>
        <w:spacing w:line="270" w:lineRule="exact" w:before="1" w:after="0"/>
        <w:ind w:left="954" w:right="0" w:hanging="360"/>
        <w:jc w:val="both"/>
        <w:rPr>
          <w:rFonts w:ascii="Symbol" w:hAnsi="Symbol"/>
          <w:sz w:val="22"/>
        </w:rPr>
      </w:pPr>
      <w:r>
        <w:rPr>
          <w:sz w:val="22"/>
        </w:rPr>
        <w:t>Any anti-slip flooring fitted by us should remain in the</w:t>
      </w:r>
      <w:r>
        <w:rPr>
          <w:spacing w:val="-14"/>
          <w:sz w:val="22"/>
        </w:rPr>
        <w:t> </w:t>
      </w:r>
      <w:r>
        <w:rPr>
          <w:sz w:val="22"/>
        </w:rPr>
        <w:t>property;</w:t>
      </w:r>
    </w:p>
    <w:p>
      <w:pPr>
        <w:pStyle w:val="ListParagraph"/>
        <w:numPr>
          <w:ilvl w:val="0"/>
          <w:numId w:val="1"/>
        </w:numPr>
        <w:tabs>
          <w:tab w:pos="953" w:val="left" w:leader="none"/>
          <w:tab w:pos="954" w:val="left" w:leader="none"/>
        </w:tabs>
        <w:spacing w:line="240" w:lineRule="auto" w:before="0" w:after="0"/>
        <w:ind w:left="954" w:right="229" w:hanging="360"/>
        <w:jc w:val="left"/>
        <w:rPr>
          <w:rFonts w:ascii="Symbol" w:hAnsi="Symbol"/>
          <w:sz w:val="22"/>
        </w:rPr>
      </w:pPr>
      <w:r>
        <w:rPr>
          <w:sz w:val="22"/>
        </w:rPr>
        <w:t>Any shelving, cupboard or light fittings which you have installed must be removed and made</w:t>
      </w:r>
      <w:r>
        <w:rPr>
          <w:spacing w:val="-3"/>
          <w:sz w:val="22"/>
        </w:rPr>
        <w:t> </w:t>
      </w:r>
      <w:r>
        <w:rPr>
          <w:sz w:val="22"/>
        </w:rPr>
        <w:t>good;</w:t>
      </w:r>
    </w:p>
    <w:p>
      <w:pPr>
        <w:pStyle w:val="ListParagraph"/>
        <w:numPr>
          <w:ilvl w:val="0"/>
          <w:numId w:val="1"/>
        </w:numPr>
        <w:tabs>
          <w:tab w:pos="953" w:val="left" w:leader="none"/>
          <w:tab w:pos="954" w:val="left" w:leader="none"/>
        </w:tabs>
        <w:spacing w:line="240" w:lineRule="auto" w:before="0" w:after="0"/>
        <w:ind w:left="954" w:right="232" w:hanging="360"/>
        <w:jc w:val="left"/>
        <w:rPr>
          <w:rFonts w:ascii="Symbol" w:hAnsi="Symbol"/>
          <w:sz w:val="22"/>
        </w:rPr>
      </w:pPr>
      <w:r>
        <w:rPr>
          <w:sz w:val="22"/>
        </w:rPr>
        <w:t>Integrated hobs, ovens and cookers owned by you must be removed unless otherwise agreed by Havebury Housing</w:t>
      </w:r>
      <w:r>
        <w:rPr>
          <w:spacing w:val="-5"/>
          <w:sz w:val="22"/>
        </w:rPr>
        <w:t> </w:t>
      </w:r>
      <w:r>
        <w:rPr>
          <w:sz w:val="22"/>
        </w:rPr>
        <w:t>Partnership;</w:t>
      </w:r>
    </w:p>
    <w:p>
      <w:pPr>
        <w:pStyle w:val="ListParagraph"/>
        <w:numPr>
          <w:ilvl w:val="0"/>
          <w:numId w:val="1"/>
        </w:numPr>
        <w:tabs>
          <w:tab w:pos="953" w:val="left" w:leader="none"/>
          <w:tab w:pos="954" w:val="left" w:leader="none"/>
        </w:tabs>
        <w:spacing w:line="240" w:lineRule="auto" w:before="0" w:after="0"/>
        <w:ind w:left="954" w:right="0" w:hanging="360"/>
        <w:jc w:val="left"/>
        <w:rPr>
          <w:rFonts w:ascii="Symbol" w:hAnsi="Symbol"/>
          <w:sz w:val="22"/>
        </w:rPr>
      </w:pPr>
      <w:r>
        <w:rPr>
          <w:sz w:val="22"/>
        </w:rPr>
        <w:t>All worktops, wall units and cupboards must be in good condition and</w:t>
      </w:r>
      <w:r>
        <w:rPr>
          <w:spacing w:val="-22"/>
          <w:sz w:val="22"/>
        </w:rPr>
        <w:t> </w:t>
      </w:r>
      <w:r>
        <w:rPr>
          <w:sz w:val="22"/>
        </w:rPr>
        <w:t>scratch-free;</w:t>
      </w:r>
    </w:p>
    <w:p>
      <w:pPr>
        <w:pStyle w:val="ListParagraph"/>
        <w:numPr>
          <w:ilvl w:val="0"/>
          <w:numId w:val="1"/>
        </w:numPr>
        <w:tabs>
          <w:tab w:pos="953" w:val="left" w:leader="none"/>
          <w:tab w:pos="954" w:val="left" w:leader="none"/>
        </w:tabs>
        <w:spacing w:line="269" w:lineRule="exact" w:before="1" w:after="0"/>
        <w:ind w:left="954" w:right="0" w:hanging="360"/>
        <w:jc w:val="left"/>
        <w:rPr>
          <w:rFonts w:ascii="Symbol" w:hAnsi="Symbol"/>
          <w:sz w:val="22"/>
        </w:rPr>
      </w:pPr>
      <w:r>
        <w:rPr>
          <w:sz w:val="22"/>
        </w:rPr>
        <w:t>Stain(s) and lime scale must be removed from sinks, baths and</w:t>
      </w:r>
      <w:r>
        <w:rPr>
          <w:spacing w:val="-16"/>
          <w:sz w:val="22"/>
        </w:rPr>
        <w:t> </w:t>
      </w:r>
      <w:r>
        <w:rPr>
          <w:sz w:val="22"/>
        </w:rPr>
        <w:t>toilets;</w:t>
      </w:r>
    </w:p>
    <w:p>
      <w:pPr>
        <w:pStyle w:val="ListParagraph"/>
        <w:numPr>
          <w:ilvl w:val="0"/>
          <w:numId w:val="1"/>
        </w:numPr>
        <w:tabs>
          <w:tab w:pos="953" w:val="left" w:leader="none"/>
          <w:tab w:pos="954" w:val="left" w:leader="none"/>
        </w:tabs>
        <w:spacing w:line="269" w:lineRule="exact" w:before="0" w:after="0"/>
        <w:ind w:left="954" w:right="0" w:hanging="360"/>
        <w:jc w:val="left"/>
        <w:rPr>
          <w:rFonts w:ascii="Symbol" w:hAnsi="Symbol"/>
          <w:sz w:val="22"/>
        </w:rPr>
      </w:pPr>
      <w:r>
        <w:rPr>
          <w:sz w:val="22"/>
        </w:rPr>
        <w:t>All basins, WC’s, sinks and baths must be undamaged and in good working</w:t>
      </w:r>
      <w:r>
        <w:rPr>
          <w:spacing w:val="-19"/>
          <w:sz w:val="22"/>
        </w:rPr>
        <w:t> </w:t>
      </w:r>
      <w:r>
        <w:rPr>
          <w:sz w:val="22"/>
        </w:rPr>
        <w:t>order;</w:t>
      </w:r>
    </w:p>
    <w:p>
      <w:pPr>
        <w:pStyle w:val="ListParagraph"/>
        <w:numPr>
          <w:ilvl w:val="0"/>
          <w:numId w:val="1"/>
        </w:numPr>
        <w:tabs>
          <w:tab w:pos="953" w:val="left" w:leader="none"/>
          <w:tab w:pos="954" w:val="left" w:leader="none"/>
        </w:tabs>
        <w:spacing w:line="240" w:lineRule="auto" w:before="1" w:after="0"/>
        <w:ind w:left="954" w:right="230" w:hanging="360"/>
        <w:jc w:val="left"/>
        <w:rPr>
          <w:rFonts w:ascii="Symbol" w:hAnsi="Symbol"/>
          <w:sz w:val="22"/>
        </w:rPr>
      </w:pPr>
      <w:r>
        <w:rPr>
          <w:sz w:val="22"/>
        </w:rPr>
        <w:t>Damage to the property that is </w:t>
      </w:r>
      <w:r>
        <w:rPr>
          <w:sz w:val="22"/>
          <w:u w:val="single"/>
        </w:rPr>
        <w:t>not</w:t>
      </w:r>
      <w:r>
        <w:rPr>
          <w:sz w:val="22"/>
        </w:rPr>
        <w:t> considered to be Fair Wear And Tear will be re- charged to the</w:t>
      </w:r>
      <w:r>
        <w:rPr>
          <w:spacing w:val="-4"/>
          <w:sz w:val="22"/>
        </w:rPr>
        <w:t> </w:t>
      </w:r>
      <w:r>
        <w:rPr>
          <w:sz w:val="22"/>
        </w:rPr>
        <w:t>estate.</w:t>
      </w:r>
    </w:p>
    <w:p>
      <w:pPr>
        <w:pStyle w:val="BodyText"/>
        <w:spacing w:before="3"/>
        <w:rPr>
          <w:sz w:val="25"/>
        </w:rPr>
      </w:pPr>
    </w:p>
    <w:p>
      <w:pPr>
        <w:pStyle w:val="Heading1"/>
        <w:jc w:val="left"/>
      </w:pPr>
      <w:r>
        <w:rPr/>
        <w:t>Garden and communal areas</w:t>
      </w:r>
    </w:p>
    <w:p>
      <w:pPr>
        <w:pStyle w:val="ListParagraph"/>
        <w:numPr>
          <w:ilvl w:val="0"/>
          <w:numId w:val="1"/>
        </w:numPr>
        <w:tabs>
          <w:tab w:pos="953" w:val="left" w:leader="none"/>
          <w:tab w:pos="954" w:val="left" w:leader="none"/>
        </w:tabs>
        <w:spacing w:line="240" w:lineRule="auto" w:before="40" w:after="0"/>
        <w:ind w:left="954" w:right="232" w:hanging="360"/>
        <w:jc w:val="left"/>
        <w:rPr>
          <w:rFonts w:ascii="Symbol" w:hAnsi="Symbol"/>
          <w:sz w:val="22"/>
        </w:rPr>
      </w:pPr>
      <w:r>
        <w:rPr>
          <w:sz w:val="22"/>
        </w:rPr>
        <w:t>Grass and vegetation should be cut regularly during the growing season (normally once a</w:t>
      </w:r>
      <w:r>
        <w:rPr>
          <w:spacing w:val="-2"/>
          <w:sz w:val="22"/>
        </w:rPr>
        <w:t> </w:t>
      </w:r>
      <w:r>
        <w:rPr>
          <w:sz w:val="22"/>
        </w:rPr>
        <w:t>fortnight);</w:t>
      </w:r>
    </w:p>
    <w:p>
      <w:pPr>
        <w:pStyle w:val="ListParagraph"/>
        <w:numPr>
          <w:ilvl w:val="0"/>
          <w:numId w:val="1"/>
        </w:numPr>
        <w:tabs>
          <w:tab w:pos="953" w:val="left" w:leader="none"/>
          <w:tab w:pos="954" w:val="left" w:leader="none"/>
        </w:tabs>
        <w:spacing w:line="240" w:lineRule="auto" w:before="0" w:after="0"/>
        <w:ind w:left="954" w:right="230" w:hanging="360"/>
        <w:jc w:val="left"/>
        <w:rPr>
          <w:rFonts w:ascii="Symbol" w:hAnsi="Symbol"/>
          <w:sz w:val="22"/>
        </w:rPr>
      </w:pPr>
      <w:r>
        <w:rPr>
          <w:sz w:val="22"/>
        </w:rPr>
        <w:t>Sheds may be left if they are in good condition – we will confirm this with you when we inspect the</w:t>
      </w:r>
      <w:r>
        <w:rPr>
          <w:spacing w:val="-3"/>
          <w:sz w:val="22"/>
        </w:rPr>
        <w:t> </w:t>
      </w:r>
      <w:r>
        <w:rPr>
          <w:sz w:val="22"/>
        </w:rPr>
        <w:t>property;</w:t>
      </w:r>
    </w:p>
    <w:p>
      <w:pPr>
        <w:pStyle w:val="ListParagraph"/>
        <w:numPr>
          <w:ilvl w:val="0"/>
          <w:numId w:val="1"/>
        </w:numPr>
        <w:tabs>
          <w:tab w:pos="953" w:val="left" w:leader="none"/>
          <w:tab w:pos="954" w:val="left" w:leader="none"/>
        </w:tabs>
        <w:spacing w:line="240" w:lineRule="auto" w:before="0" w:after="0"/>
        <w:ind w:left="954" w:right="231" w:hanging="360"/>
        <w:jc w:val="left"/>
        <w:rPr>
          <w:rFonts w:ascii="Symbol" w:hAnsi="Symbol"/>
          <w:sz w:val="22"/>
        </w:rPr>
      </w:pPr>
      <w:r>
        <w:rPr>
          <w:sz w:val="22"/>
        </w:rPr>
        <w:t>All other temporary structures and greenhouses must be removed and</w:t>
      </w:r>
      <w:r>
        <w:rPr>
          <w:spacing w:val="29"/>
          <w:sz w:val="22"/>
        </w:rPr>
        <w:t> </w:t>
      </w:r>
      <w:r>
        <w:rPr>
          <w:sz w:val="22"/>
        </w:rPr>
        <w:t>debris cleared from the</w:t>
      </w:r>
      <w:r>
        <w:rPr>
          <w:spacing w:val="-3"/>
          <w:sz w:val="22"/>
        </w:rPr>
        <w:t> </w:t>
      </w:r>
      <w:r>
        <w:rPr>
          <w:sz w:val="22"/>
        </w:rPr>
        <w:t>garden;</w:t>
      </w:r>
    </w:p>
    <w:p>
      <w:pPr>
        <w:pStyle w:val="ListParagraph"/>
        <w:numPr>
          <w:ilvl w:val="0"/>
          <w:numId w:val="1"/>
        </w:numPr>
        <w:tabs>
          <w:tab w:pos="953" w:val="left" w:leader="none"/>
          <w:tab w:pos="954" w:val="left" w:leader="none"/>
        </w:tabs>
        <w:spacing w:line="268" w:lineRule="exact" w:before="0" w:after="0"/>
        <w:ind w:left="954" w:right="0" w:hanging="360"/>
        <w:jc w:val="left"/>
        <w:rPr>
          <w:rFonts w:ascii="Symbol" w:hAnsi="Symbol"/>
          <w:sz w:val="22"/>
        </w:rPr>
      </w:pPr>
      <w:r>
        <w:rPr>
          <w:sz w:val="22"/>
        </w:rPr>
        <w:t>Ponds to be filled in and made</w:t>
      </w:r>
      <w:r>
        <w:rPr>
          <w:spacing w:val="-6"/>
          <w:sz w:val="22"/>
        </w:rPr>
        <w:t> </w:t>
      </w:r>
      <w:r>
        <w:rPr>
          <w:sz w:val="22"/>
        </w:rPr>
        <w:t>safe;</w:t>
      </w:r>
    </w:p>
    <w:p>
      <w:pPr>
        <w:pStyle w:val="ListParagraph"/>
        <w:numPr>
          <w:ilvl w:val="0"/>
          <w:numId w:val="1"/>
        </w:numPr>
        <w:tabs>
          <w:tab w:pos="953" w:val="left" w:leader="none"/>
          <w:tab w:pos="954" w:val="left" w:leader="none"/>
        </w:tabs>
        <w:spacing w:line="240" w:lineRule="auto" w:before="1" w:after="0"/>
        <w:ind w:left="954" w:right="0" w:hanging="360"/>
        <w:jc w:val="left"/>
        <w:rPr>
          <w:rFonts w:ascii="Symbol" w:hAnsi="Symbol"/>
          <w:sz w:val="22"/>
        </w:rPr>
      </w:pPr>
      <w:r>
        <w:rPr>
          <w:sz w:val="22"/>
        </w:rPr>
        <w:t>Do not leave any items in communal</w:t>
      </w:r>
      <w:r>
        <w:rPr>
          <w:spacing w:val="-3"/>
          <w:sz w:val="22"/>
        </w:rPr>
        <w:t> </w:t>
      </w:r>
      <w:r>
        <w:rPr>
          <w:sz w:val="22"/>
        </w:rPr>
        <w:t>areas.</w:t>
      </w:r>
    </w:p>
    <w:p>
      <w:pPr>
        <w:spacing w:after="0" w:line="240" w:lineRule="auto"/>
        <w:jc w:val="left"/>
        <w:rPr>
          <w:rFonts w:ascii="Symbol" w:hAnsi="Symbol"/>
          <w:sz w:val="22"/>
        </w:rPr>
        <w:sectPr>
          <w:pgSz w:w="11910" w:h="16850"/>
          <w:pgMar w:header="375" w:footer="878" w:top="1940" w:bottom="1060" w:left="1240" w:right="1240"/>
        </w:sectPr>
      </w:pPr>
    </w:p>
    <w:p>
      <w:pPr>
        <w:pStyle w:val="BodyText"/>
        <w:spacing w:before="6"/>
        <w:rPr>
          <w:sz w:val="16"/>
        </w:rPr>
      </w:pPr>
    </w:p>
    <w:p>
      <w:pPr>
        <w:pStyle w:val="Heading1"/>
        <w:spacing w:before="101"/>
      </w:pPr>
      <w:r>
        <w:rPr/>
        <w:t>When leaving the property you must:</w:t>
      </w:r>
    </w:p>
    <w:p>
      <w:pPr>
        <w:pStyle w:val="ListParagraph"/>
        <w:numPr>
          <w:ilvl w:val="0"/>
          <w:numId w:val="2"/>
        </w:numPr>
        <w:tabs>
          <w:tab w:pos="593" w:val="left" w:leader="none"/>
          <w:tab w:pos="595" w:val="left" w:leader="none"/>
        </w:tabs>
        <w:spacing w:line="240" w:lineRule="auto" w:before="160" w:after="0"/>
        <w:ind w:left="594" w:right="0" w:hanging="361"/>
        <w:jc w:val="left"/>
        <w:rPr>
          <w:sz w:val="22"/>
        </w:rPr>
      </w:pPr>
      <w:r>
        <w:rPr>
          <w:sz w:val="22"/>
        </w:rPr>
        <w:t>Provide final meter readings to the current utility providers, i.e. Gas, Electric,</w:t>
      </w:r>
      <w:r>
        <w:rPr>
          <w:spacing w:val="-33"/>
          <w:sz w:val="22"/>
        </w:rPr>
        <w:t> </w:t>
      </w:r>
      <w:r>
        <w:rPr>
          <w:sz w:val="22"/>
        </w:rPr>
        <w:t>Water.</w:t>
      </w:r>
    </w:p>
    <w:p>
      <w:pPr>
        <w:pStyle w:val="ListParagraph"/>
        <w:numPr>
          <w:ilvl w:val="0"/>
          <w:numId w:val="2"/>
        </w:numPr>
        <w:tabs>
          <w:tab w:pos="593" w:val="left" w:leader="none"/>
          <w:tab w:pos="595" w:val="left" w:leader="none"/>
        </w:tabs>
        <w:spacing w:line="269" w:lineRule="exact" w:before="1" w:after="0"/>
        <w:ind w:left="594" w:right="0" w:hanging="361"/>
        <w:jc w:val="left"/>
        <w:rPr>
          <w:sz w:val="22"/>
        </w:rPr>
      </w:pPr>
      <w:r>
        <w:rPr>
          <w:sz w:val="22"/>
        </w:rPr>
        <w:t>Leave any prepayment card or key for the gas or electricity in the</w:t>
      </w:r>
      <w:r>
        <w:rPr>
          <w:spacing w:val="-22"/>
          <w:sz w:val="22"/>
        </w:rPr>
        <w:t> </w:t>
      </w:r>
      <w:r>
        <w:rPr>
          <w:sz w:val="22"/>
        </w:rPr>
        <w:t>property.</w:t>
      </w:r>
    </w:p>
    <w:p>
      <w:pPr>
        <w:pStyle w:val="ListParagraph"/>
        <w:numPr>
          <w:ilvl w:val="0"/>
          <w:numId w:val="2"/>
        </w:numPr>
        <w:tabs>
          <w:tab w:pos="593" w:val="left" w:leader="none"/>
          <w:tab w:pos="595" w:val="left" w:leader="none"/>
        </w:tabs>
        <w:spacing w:line="240" w:lineRule="auto" w:before="0" w:after="0"/>
        <w:ind w:left="594" w:right="230" w:hanging="360"/>
        <w:jc w:val="left"/>
        <w:rPr>
          <w:sz w:val="22"/>
        </w:rPr>
      </w:pPr>
      <w:r>
        <w:rPr>
          <w:sz w:val="22"/>
        </w:rPr>
        <w:t>Return the keys to the property and if applicable the key-fobs by one of the options below;</w:t>
      </w:r>
    </w:p>
    <w:p>
      <w:pPr>
        <w:pStyle w:val="BodyText"/>
        <w:spacing w:before="1"/>
      </w:pPr>
    </w:p>
    <w:p>
      <w:pPr>
        <w:pStyle w:val="Heading1"/>
        <w:numPr>
          <w:ilvl w:val="1"/>
          <w:numId w:val="2"/>
        </w:numPr>
        <w:tabs>
          <w:tab w:pos="1086" w:val="left" w:leader="none"/>
        </w:tabs>
        <w:spacing w:line="270" w:lineRule="exact" w:before="0" w:after="0"/>
        <w:ind w:left="1086" w:right="0" w:hanging="425"/>
        <w:jc w:val="both"/>
      </w:pPr>
      <w:r>
        <w:rPr/>
        <w:t>Option</w:t>
      </w:r>
      <w:r>
        <w:rPr>
          <w:spacing w:val="-1"/>
        </w:rPr>
        <w:t> </w:t>
      </w:r>
      <w:r>
        <w:rPr/>
        <w:t>1</w:t>
      </w:r>
    </w:p>
    <w:p>
      <w:pPr>
        <w:pStyle w:val="BodyText"/>
        <w:spacing w:line="276" w:lineRule="auto"/>
        <w:ind w:left="1086" w:right="232"/>
        <w:jc w:val="both"/>
      </w:pPr>
      <w:r>
        <w:rPr/>
        <w:t>Our preference would be to meet your at the property at a mutually agreeable time which would allow us to carry out a final inspection of the property with you in attendance, we would then take possession of the</w:t>
      </w:r>
      <w:r>
        <w:rPr>
          <w:spacing w:val="-5"/>
        </w:rPr>
        <w:t> </w:t>
      </w:r>
      <w:r>
        <w:rPr/>
        <w:t>keys.</w:t>
      </w:r>
    </w:p>
    <w:p>
      <w:pPr>
        <w:pStyle w:val="BodyText"/>
        <w:spacing w:before="4"/>
        <w:rPr>
          <w:sz w:val="25"/>
        </w:rPr>
      </w:pPr>
    </w:p>
    <w:p>
      <w:pPr>
        <w:pStyle w:val="Heading1"/>
        <w:numPr>
          <w:ilvl w:val="1"/>
          <w:numId w:val="2"/>
        </w:numPr>
        <w:tabs>
          <w:tab w:pos="1086" w:val="left" w:leader="none"/>
        </w:tabs>
        <w:spacing w:line="270" w:lineRule="exact" w:before="0" w:after="0"/>
        <w:ind w:left="1086" w:right="0" w:hanging="425"/>
        <w:jc w:val="both"/>
      </w:pPr>
      <w:r>
        <w:rPr/>
        <w:t>Option</w:t>
      </w:r>
      <w:r>
        <w:rPr>
          <w:spacing w:val="-1"/>
        </w:rPr>
        <w:t> </w:t>
      </w:r>
      <w:r>
        <w:rPr/>
        <w:t>2</w:t>
      </w:r>
    </w:p>
    <w:p>
      <w:pPr>
        <w:pStyle w:val="BodyText"/>
        <w:spacing w:line="276" w:lineRule="auto"/>
        <w:ind w:left="1086" w:right="228"/>
        <w:jc w:val="both"/>
      </w:pPr>
      <w:r>
        <w:rPr/>
        <w:t>In the unlikely event it’s not possible for both parties to agree a mutually agreeable time for the key collection. The termination day will usually be a Sunday, and you must return all keys to us by midday on the Monday immediately following the termination</w:t>
      </w:r>
    </w:p>
    <w:p>
      <w:pPr>
        <w:pStyle w:val="BodyText"/>
        <w:spacing w:before="3"/>
        <w:rPr>
          <w:sz w:val="25"/>
        </w:rPr>
      </w:pPr>
    </w:p>
    <w:p>
      <w:pPr>
        <w:pStyle w:val="ListParagraph"/>
        <w:numPr>
          <w:ilvl w:val="0"/>
          <w:numId w:val="2"/>
        </w:numPr>
        <w:tabs>
          <w:tab w:pos="593" w:val="left" w:leader="none"/>
          <w:tab w:pos="595" w:val="left" w:leader="none"/>
        </w:tabs>
        <w:spacing w:line="240" w:lineRule="auto" w:before="0" w:after="0"/>
        <w:ind w:left="594" w:right="0" w:hanging="361"/>
        <w:jc w:val="left"/>
        <w:rPr>
          <w:sz w:val="22"/>
        </w:rPr>
      </w:pPr>
      <w:r>
        <w:rPr>
          <w:sz w:val="22"/>
        </w:rPr>
        <w:t>The following will only be necessary if you are returning the keys to our</w:t>
      </w:r>
      <w:r>
        <w:rPr>
          <w:spacing w:val="-19"/>
          <w:sz w:val="22"/>
        </w:rPr>
        <w:t> </w:t>
      </w:r>
      <w:r>
        <w:rPr>
          <w:sz w:val="22"/>
        </w:rPr>
        <w:t>office.</w:t>
      </w:r>
    </w:p>
    <w:p>
      <w:pPr>
        <w:pStyle w:val="ListParagraph"/>
        <w:numPr>
          <w:ilvl w:val="1"/>
          <w:numId w:val="2"/>
        </w:numPr>
        <w:tabs>
          <w:tab w:pos="1085" w:val="left" w:leader="none"/>
          <w:tab w:pos="1086" w:val="left" w:leader="none"/>
        </w:tabs>
        <w:spacing w:line="269" w:lineRule="exact" w:before="1" w:after="0"/>
        <w:ind w:left="1086" w:right="0" w:hanging="425"/>
        <w:jc w:val="left"/>
        <w:rPr>
          <w:sz w:val="22"/>
        </w:rPr>
      </w:pPr>
      <w:r>
        <w:rPr>
          <w:sz w:val="22"/>
        </w:rPr>
        <w:t>Close all</w:t>
      </w:r>
      <w:r>
        <w:rPr>
          <w:spacing w:val="-3"/>
          <w:sz w:val="22"/>
        </w:rPr>
        <w:t> </w:t>
      </w:r>
      <w:r>
        <w:rPr>
          <w:sz w:val="22"/>
        </w:rPr>
        <w:t>windows</w:t>
      </w:r>
    </w:p>
    <w:p>
      <w:pPr>
        <w:pStyle w:val="ListParagraph"/>
        <w:numPr>
          <w:ilvl w:val="1"/>
          <w:numId w:val="2"/>
        </w:numPr>
        <w:tabs>
          <w:tab w:pos="1085" w:val="left" w:leader="none"/>
          <w:tab w:pos="1086" w:val="left" w:leader="none"/>
        </w:tabs>
        <w:spacing w:line="269" w:lineRule="exact" w:before="0" w:after="0"/>
        <w:ind w:left="1086" w:right="0" w:hanging="425"/>
        <w:jc w:val="left"/>
        <w:rPr>
          <w:sz w:val="22"/>
        </w:rPr>
      </w:pPr>
      <w:r>
        <w:rPr>
          <w:sz w:val="22"/>
        </w:rPr>
        <w:t>Lock external</w:t>
      </w:r>
      <w:r>
        <w:rPr>
          <w:spacing w:val="-2"/>
          <w:sz w:val="22"/>
        </w:rPr>
        <w:t> </w:t>
      </w:r>
      <w:r>
        <w:rPr>
          <w:sz w:val="22"/>
        </w:rPr>
        <w:t>doors</w:t>
      </w:r>
    </w:p>
    <w:p>
      <w:pPr>
        <w:pStyle w:val="ListParagraph"/>
        <w:numPr>
          <w:ilvl w:val="1"/>
          <w:numId w:val="2"/>
        </w:numPr>
        <w:tabs>
          <w:tab w:pos="1085" w:val="left" w:leader="none"/>
          <w:tab w:pos="1086" w:val="left" w:leader="none"/>
        </w:tabs>
        <w:spacing w:line="269" w:lineRule="exact" w:before="1" w:after="0"/>
        <w:ind w:left="1086" w:right="0" w:hanging="425"/>
        <w:jc w:val="left"/>
        <w:rPr>
          <w:sz w:val="22"/>
        </w:rPr>
      </w:pPr>
      <w:r>
        <w:rPr>
          <w:sz w:val="22"/>
        </w:rPr>
        <w:t>Turn the electrical supply off via the main switch located in the</w:t>
      </w:r>
      <w:r>
        <w:rPr>
          <w:spacing w:val="-20"/>
          <w:sz w:val="22"/>
        </w:rPr>
        <w:t> </w:t>
      </w:r>
      <w:r>
        <w:rPr>
          <w:sz w:val="22"/>
        </w:rPr>
        <w:t>fuseboard.</w:t>
      </w:r>
    </w:p>
    <w:p>
      <w:pPr>
        <w:pStyle w:val="ListParagraph"/>
        <w:numPr>
          <w:ilvl w:val="1"/>
          <w:numId w:val="2"/>
        </w:numPr>
        <w:tabs>
          <w:tab w:pos="1085" w:val="left" w:leader="none"/>
          <w:tab w:pos="1086" w:val="left" w:leader="none"/>
        </w:tabs>
        <w:spacing w:line="269" w:lineRule="exact" w:before="0" w:after="0"/>
        <w:ind w:left="1086" w:right="0" w:hanging="425"/>
        <w:jc w:val="left"/>
        <w:rPr>
          <w:sz w:val="22"/>
        </w:rPr>
      </w:pPr>
      <w:r>
        <w:rPr>
          <w:sz w:val="22"/>
        </w:rPr>
        <w:t>Shut the water supply off at the</w:t>
      </w:r>
      <w:r>
        <w:rPr>
          <w:spacing w:val="-7"/>
          <w:sz w:val="22"/>
        </w:rPr>
        <w:t> </w:t>
      </w:r>
      <w:r>
        <w:rPr>
          <w:sz w:val="22"/>
        </w:rPr>
        <w:t>stop-tap</w:t>
      </w:r>
    </w:p>
    <w:p>
      <w:pPr>
        <w:pStyle w:val="ListParagraph"/>
        <w:numPr>
          <w:ilvl w:val="1"/>
          <w:numId w:val="2"/>
        </w:numPr>
        <w:tabs>
          <w:tab w:pos="1085" w:val="left" w:leader="none"/>
          <w:tab w:pos="1086" w:val="left" w:leader="none"/>
        </w:tabs>
        <w:spacing w:line="240" w:lineRule="auto" w:before="1" w:after="0"/>
        <w:ind w:left="1086" w:right="230" w:hanging="425"/>
        <w:jc w:val="left"/>
        <w:rPr>
          <w:sz w:val="22"/>
        </w:rPr>
      </w:pPr>
      <w:r>
        <w:rPr>
          <w:sz w:val="22"/>
        </w:rPr>
        <w:t>If you have a gas meter, shut the gas supply off at the isolation valve which is located adjacent to the gas</w:t>
      </w:r>
      <w:r>
        <w:rPr>
          <w:spacing w:val="-5"/>
          <w:sz w:val="22"/>
        </w:rPr>
        <w:t> </w:t>
      </w:r>
      <w:r>
        <w:rPr>
          <w:sz w:val="22"/>
        </w:rPr>
        <w:t>meter.</w:t>
      </w:r>
    </w:p>
    <w:p>
      <w:pPr>
        <w:pStyle w:val="BodyText"/>
      </w:pPr>
    </w:p>
    <w:p>
      <w:pPr>
        <w:pStyle w:val="ListParagraph"/>
        <w:numPr>
          <w:ilvl w:val="0"/>
          <w:numId w:val="2"/>
        </w:numPr>
        <w:tabs>
          <w:tab w:pos="593" w:val="left" w:leader="none"/>
          <w:tab w:pos="595" w:val="left" w:leader="none"/>
        </w:tabs>
        <w:spacing w:line="240" w:lineRule="auto" w:before="0" w:after="0"/>
        <w:ind w:left="594" w:right="228" w:hanging="360"/>
        <w:jc w:val="left"/>
        <w:rPr>
          <w:sz w:val="22"/>
        </w:rPr>
      </w:pPr>
      <w:r>
        <w:rPr>
          <w:sz w:val="22"/>
        </w:rPr>
        <w:t>If you are unsure of any of the above please ask for further advice at the pre-leaving inspection or speak to one of our Allocations</w:t>
      </w:r>
      <w:r>
        <w:rPr>
          <w:spacing w:val="-6"/>
          <w:sz w:val="22"/>
        </w:rPr>
        <w:t> </w:t>
      </w:r>
      <w:r>
        <w:rPr>
          <w:sz w:val="22"/>
        </w:rPr>
        <w:t>Advisors.</w:t>
      </w:r>
    </w:p>
    <w:p>
      <w:pPr>
        <w:pStyle w:val="BodyText"/>
        <w:spacing w:before="10"/>
        <w:rPr>
          <w:sz w:val="21"/>
        </w:rPr>
      </w:pPr>
    </w:p>
    <w:p>
      <w:pPr>
        <w:pStyle w:val="BodyText"/>
        <w:spacing w:line="276" w:lineRule="auto" w:before="1"/>
        <w:ind w:left="234" w:right="230"/>
        <w:jc w:val="both"/>
      </w:pPr>
      <w:r>
        <w:rPr/>
        <w:t>The estate is responsible for paying the rent up to the last day of the tenancy. If the rent account is in arrears on the date the tenancy ends, or repairs are discovered after the tenancy has ended the estate will be recharged accordingly.</w:t>
      </w:r>
    </w:p>
    <w:p>
      <w:pPr>
        <w:pStyle w:val="BodyText"/>
        <w:rPr>
          <w:sz w:val="26"/>
        </w:rPr>
      </w:pPr>
    </w:p>
    <w:p>
      <w:pPr>
        <w:pStyle w:val="Heading1"/>
        <w:spacing w:before="232"/>
        <w:ind w:left="546" w:right="546"/>
        <w:jc w:val="center"/>
      </w:pPr>
      <w:r>
        <w:rPr/>
        <w:t>IMPORTANT</w:t>
      </w:r>
    </w:p>
    <w:p>
      <w:pPr>
        <w:pStyle w:val="BodyText"/>
        <w:spacing w:before="38"/>
        <w:ind w:left="546" w:right="546"/>
        <w:jc w:val="center"/>
      </w:pPr>
      <w:r>
        <w:rPr/>
        <w:t>If you don’t return the keys, the estate will continue to be responsible for the rent.</w:t>
      </w:r>
    </w:p>
    <w:sectPr>
      <w:pgSz w:w="11910" w:h="16850"/>
      <w:pgMar w:header="375" w:footer="878" w:top="1940" w:bottom="106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6.940002pt;margin-top:787.157593pt;width:126.3pt;height:13.7pt;mso-position-horizontal-relative:page;mso-position-vertical-relative:page;z-index:-252035072" type="#_x0000_t202" filled="false" stroked="false">
          <v:textbox inset="0,0,0,0">
            <w:txbxContent>
              <w:p>
                <w:pPr>
                  <w:spacing w:before="19"/>
                  <w:ind w:left="20" w:right="0" w:firstLine="0"/>
                  <w:jc w:val="left"/>
                  <w:rPr>
                    <w:rFonts w:ascii="Arial"/>
                    <w:sz w:val="20"/>
                  </w:rPr>
                </w:pPr>
                <w:r>
                  <w:rPr>
                    <w:rFonts w:ascii="Arial"/>
                    <w:w w:val="105"/>
                    <w:sz w:val="20"/>
                  </w:rPr>
                  <w:t>Telephone: 0300 330</w:t>
                </w:r>
                <w:r>
                  <w:rPr>
                    <w:rFonts w:ascii="Arial"/>
                    <w:spacing w:val="-30"/>
                    <w:w w:val="105"/>
                    <w:sz w:val="20"/>
                  </w:rPr>
                  <w:t> </w:t>
                </w:r>
                <w:r>
                  <w:rPr>
                    <w:rFonts w:ascii="Arial"/>
                    <w:w w:val="105"/>
                    <w:sz w:val="20"/>
                  </w:rPr>
                  <w:t>0900</w:t>
                </w:r>
              </w:p>
            </w:txbxContent>
          </v:textbox>
          <w10:wrap type="none"/>
        </v:shape>
      </w:pict>
    </w:r>
    <w:r>
      <w:rPr/>
      <w:pict>
        <v:shape style="position:absolute;margin-left:300.970001pt;margin-top:787.157593pt;width:137.35pt;height:13.7pt;mso-position-horizontal-relative:page;mso-position-vertical-relative:page;z-index:-252034048" type="#_x0000_t202" filled="false" stroked="false">
          <v:textbox inset="0,0,0,0">
            <w:txbxContent>
              <w:p>
                <w:pPr>
                  <w:spacing w:before="19"/>
                  <w:ind w:left="20" w:right="0" w:firstLine="0"/>
                  <w:jc w:val="left"/>
                  <w:rPr>
                    <w:rFonts w:ascii="Arial"/>
                    <w:sz w:val="20"/>
                  </w:rPr>
                </w:pPr>
                <w:r>
                  <w:rPr>
                    <w:rFonts w:ascii="Arial"/>
                    <w:w w:val="105"/>
                    <w:sz w:val="20"/>
                  </w:rPr>
                  <w:t>Website: </w:t>
                </w:r>
                <w:hyperlink r:id="rId1">
                  <w:r>
                    <w:rPr>
                      <w:rFonts w:ascii="Arial"/>
                      <w:w w:val="105"/>
                      <w:sz w:val="20"/>
                    </w:rPr>
                    <w:t>www.havebury.com</w:t>
                  </w:r>
                </w:hyperlink>
              </w:p>
            </w:txbxContent>
          </v:textbox>
          <w10:wrap type="none"/>
        </v:shape>
      </w:pict>
    </w:r>
    <w:r>
      <w:rPr/>
      <w:pict>
        <v:shape style="position:absolute;margin-left:80.264pt;margin-top:800.722351pt;width:434.6pt;height:27.9pt;mso-position-horizontal-relative:page;mso-position-vertical-relative:page;z-index:-252033024" type="#_x0000_t202" filled="false" stroked="false">
          <v:textbox inset="0,0,0,0">
            <w:txbxContent>
              <w:p>
                <w:pPr>
                  <w:spacing w:before="21"/>
                  <w:ind w:left="101" w:right="101" w:firstLine="0"/>
                  <w:jc w:val="center"/>
                  <w:rPr>
                    <w:rFonts w:ascii="Arial"/>
                    <w:sz w:val="16"/>
                  </w:rPr>
                </w:pPr>
                <w:r>
                  <w:rPr>
                    <w:rFonts w:ascii="Arial"/>
                    <w:sz w:val="16"/>
                  </w:rPr>
                  <w:t>Chief Executive: Andrew Smith Registered office: Havebury House, Western Way, Bury St Edmunds, Suffolk, IP33 3SP</w:t>
                </w:r>
              </w:p>
              <w:p>
                <w:pPr>
                  <w:spacing w:line="280" w:lineRule="auto" w:before="31"/>
                  <w:ind w:left="649" w:right="651" w:firstLine="0"/>
                  <w:jc w:val="center"/>
                  <w:rPr>
                    <w:rFonts w:ascii="Arial"/>
                    <w:sz w:val="12"/>
                  </w:rPr>
                </w:pPr>
                <w:r>
                  <w:rPr>
                    <w:rFonts w:ascii="Arial"/>
                    <w:w w:val="105"/>
                    <w:sz w:val="12"/>
                  </w:rPr>
                  <w:t>A</w:t>
                </w:r>
                <w:r>
                  <w:rPr>
                    <w:rFonts w:ascii="Arial"/>
                    <w:spacing w:val="-10"/>
                    <w:w w:val="105"/>
                    <w:sz w:val="12"/>
                  </w:rPr>
                  <w:t> </w:t>
                </w:r>
                <w:r>
                  <w:rPr>
                    <w:rFonts w:ascii="Arial"/>
                    <w:w w:val="105"/>
                    <w:sz w:val="12"/>
                  </w:rPr>
                  <w:t>company</w:t>
                </w:r>
                <w:r>
                  <w:rPr>
                    <w:rFonts w:ascii="Arial"/>
                    <w:spacing w:val="-10"/>
                    <w:w w:val="105"/>
                    <w:sz w:val="12"/>
                  </w:rPr>
                  <w:t> </w:t>
                </w:r>
                <w:r>
                  <w:rPr>
                    <w:rFonts w:ascii="Arial"/>
                    <w:w w:val="105"/>
                    <w:sz w:val="12"/>
                  </w:rPr>
                  <w:t>limited</w:t>
                </w:r>
                <w:r>
                  <w:rPr>
                    <w:rFonts w:ascii="Arial"/>
                    <w:spacing w:val="-10"/>
                    <w:w w:val="105"/>
                    <w:sz w:val="12"/>
                  </w:rPr>
                  <w:t> </w:t>
                </w:r>
                <w:r>
                  <w:rPr>
                    <w:rFonts w:ascii="Arial"/>
                    <w:w w:val="105"/>
                    <w:sz w:val="12"/>
                  </w:rPr>
                  <w:t>by</w:t>
                </w:r>
                <w:r>
                  <w:rPr>
                    <w:rFonts w:ascii="Arial"/>
                    <w:spacing w:val="-10"/>
                    <w:w w:val="105"/>
                    <w:sz w:val="12"/>
                  </w:rPr>
                  <w:t> </w:t>
                </w:r>
                <w:r>
                  <w:rPr>
                    <w:rFonts w:ascii="Arial"/>
                    <w:w w:val="105"/>
                    <w:sz w:val="12"/>
                  </w:rPr>
                  <w:t>guarantee</w:t>
                </w:r>
                <w:r>
                  <w:rPr>
                    <w:rFonts w:ascii="Arial"/>
                    <w:spacing w:val="-11"/>
                    <w:w w:val="105"/>
                    <w:sz w:val="12"/>
                  </w:rPr>
                  <w:t> </w:t>
                </w:r>
                <w:r>
                  <w:rPr>
                    <w:rFonts w:ascii="Arial"/>
                    <w:w w:val="105"/>
                    <w:sz w:val="12"/>
                  </w:rPr>
                  <w:t>Registered</w:t>
                </w:r>
                <w:r>
                  <w:rPr>
                    <w:rFonts w:ascii="Arial"/>
                    <w:spacing w:val="-10"/>
                    <w:w w:val="105"/>
                    <w:sz w:val="12"/>
                  </w:rPr>
                  <w:t> </w:t>
                </w:r>
                <w:r>
                  <w:rPr>
                    <w:rFonts w:ascii="Arial"/>
                    <w:w w:val="105"/>
                    <w:sz w:val="12"/>
                  </w:rPr>
                  <w:t>in</w:t>
                </w:r>
                <w:r>
                  <w:rPr>
                    <w:rFonts w:ascii="Arial"/>
                    <w:spacing w:val="-10"/>
                    <w:w w:val="105"/>
                    <w:sz w:val="12"/>
                  </w:rPr>
                  <w:t> </w:t>
                </w:r>
                <w:r>
                  <w:rPr>
                    <w:rFonts w:ascii="Arial"/>
                    <w:w w:val="105"/>
                    <w:sz w:val="12"/>
                  </w:rPr>
                  <w:t>England</w:t>
                </w:r>
                <w:r>
                  <w:rPr>
                    <w:rFonts w:ascii="Arial"/>
                    <w:spacing w:val="-10"/>
                    <w:w w:val="105"/>
                    <w:sz w:val="12"/>
                  </w:rPr>
                  <w:t> </w:t>
                </w:r>
                <w:r>
                  <w:rPr>
                    <w:rFonts w:ascii="Arial"/>
                    <w:w w:val="105"/>
                    <w:sz w:val="12"/>
                  </w:rPr>
                  <w:t>and</w:t>
                </w:r>
                <w:r>
                  <w:rPr>
                    <w:rFonts w:ascii="Arial"/>
                    <w:spacing w:val="-10"/>
                    <w:w w:val="105"/>
                    <w:sz w:val="12"/>
                  </w:rPr>
                  <w:t> </w:t>
                </w:r>
                <w:r>
                  <w:rPr>
                    <w:rFonts w:ascii="Arial"/>
                    <w:w w:val="105"/>
                    <w:sz w:val="12"/>
                  </w:rPr>
                  <w:t>Wales</w:t>
                </w:r>
                <w:r>
                  <w:rPr>
                    <w:rFonts w:ascii="Arial"/>
                    <w:spacing w:val="-11"/>
                    <w:w w:val="105"/>
                    <w:sz w:val="12"/>
                  </w:rPr>
                  <w:t> </w:t>
                </w:r>
                <w:r>
                  <w:rPr>
                    <w:rFonts w:ascii="Arial"/>
                    <w:w w:val="105"/>
                    <w:sz w:val="12"/>
                  </w:rPr>
                  <w:t>Registered</w:t>
                </w:r>
                <w:r>
                  <w:rPr>
                    <w:rFonts w:ascii="Arial"/>
                    <w:spacing w:val="-10"/>
                    <w:w w:val="105"/>
                    <w:sz w:val="12"/>
                  </w:rPr>
                  <w:t> </w:t>
                </w:r>
                <w:r>
                  <w:rPr>
                    <w:rFonts w:ascii="Arial"/>
                    <w:w w:val="105"/>
                    <w:sz w:val="12"/>
                  </w:rPr>
                  <w:t>number:</w:t>
                </w:r>
                <w:r>
                  <w:rPr>
                    <w:rFonts w:ascii="Arial"/>
                    <w:spacing w:val="-11"/>
                    <w:w w:val="105"/>
                    <w:sz w:val="12"/>
                  </w:rPr>
                  <w:t> </w:t>
                </w:r>
                <w:r>
                  <w:rPr>
                    <w:rFonts w:ascii="Arial"/>
                    <w:w w:val="105"/>
                    <w:sz w:val="12"/>
                  </w:rPr>
                  <w:t>4147468</w:t>
                </w:r>
                <w:r>
                  <w:rPr>
                    <w:rFonts w:ascii="Arial"/>
                    <w:spacing w:val="-10"/>
                    <w:w w:val="105"/>
                    <w:sz w:val="12"/>
                  </w:rPr>
                  <w:t> </w:t>
                </w:r>
                <w:r>
                  <w:rPr>
                    <w:rFonts w:ascii="Arial"/>
                    <w:w w:val="105"/>
                    <w:sz w:val="12"/>
                  </w:rPr>
                  <w:t>Registered</w:t>
                </w:r>
                <w:r>
                  <w:rPr>
                    <w:rFonts w:ascii="Arial"/>
                    <w:spacing w:val="-10"/>
                    <w:w w:val="105"/>
                    <w:sz w:val="12"/>
                  </w:rPr>
                  <w:t> </w:t>
                </w:r>
                <w:r>
                  <w:rPr>
                    <w:rFonts w:ascii="Arial"/>
                    <w:w w:val="105"/>
                    <w:sz w:val="12"/>
                  </w:rPr>
                  <w:t>charity</w:t>
                </w:r>
                <w:r>
                  <w:rPr>
                    <w:rFonts w:ascii="Arial"/>
                    <w:spacing w:val="-10"/>
                    <w:w w:val="105"/>
                    <w:sz w:val="12"/>
                  </w:rPr>
                  <w:t> </w:t>
                </w:r>
                <w:r>
                  <w:rPr>
                    <w:rFonts w:ascii="Arial"/>
                    <w:w w:val="105"/>
                    <w:sz w:val="12"/>
                  </w:rPr>
                  <w:t>number:</w:t>
                </w:r>
                <w:r>
                  <w:rPr>
                    <w:rFonts w:ascii="Arial"/>
                    <w:spacing w:val="-11"/>
                    <w:w w:val="105"/>
                    <w:sz w:val="12"/>
                  </w:rPr>
                  <w:t> </w:t>
                </w:r>
                <w:r>
                  <w:rPr>
                    <w:rFonts w:ascii="Arial"/>
                    <w:w w:val="105"/>
                    <w:sz w:val="12"/>
                  </w:rPr>
                  <w:t>10902077 Homes</w:t>
                </w:r>
                <w:r>
                  <w:rPr>
                    <w:rFonts w:ascii="Arial"/>
                    <w:spacing w:val="-8"/>
                    <w:w w:val="105"/>
                    <w:sz w:val="12"/>
                  </w:rPr>
                  <w:t> </w:t>
                </w:r>
                <w:r>
                  <w:rPr>
                    <w:rFonts w:ascii="Arial"/>
                    <w:w w:val="105"/>
                    <w:sz w:val="12"/>
                  </w:rPr>
                  <w:t>and</w:t>
                </w:r>
                <w:r>
                  <w:rPr>
                    <w:rFonts w:ascii="Arial"/>
                    <w:spacing w:val="-6"/>
                    <w:w w:val="105"/>
                    <w:sz w:val="12"/>
                  </w:rPr>
                  <w:t> </w:t>
                </w:r>
                <w:r>
                  <w:rPr>
                    <w:rFonts w:ascii="Arial"/>
                    <w:w w:val="105"/>
                    <w:sz w:val="12"/>
                  </w:rPr>
                  <w:t>Communities</w:t>
                </w:r>
                <w:r>
                  <w:rPr>
                    <w:rFonts w:ascii="Arial"/>
                    <w:spacing w:val="-8"/>
                    <w:w w:val="105"/>
                    <w:sz w:val="12"/>
                  </w:rPr>
                  <w:t> </w:t>
                </w:r>
                <w:r>
                  <w:rPr>
                    <w:rFonts w:ascii="Arial"/>
                    <w:w w:val="105"/>
                    <w:sz w:val="12"/>
                  </w:rPr>
                  <w:t>Agency</w:t>
                </w:r>
                <w:r>
                  <w:rPr>
                    <w:rFonts w:ascii="Arial"/>
                    <w:spacing w:val="-6"/>
                    <w:w w:val="105"/>
                    <w:sz w:val="12"/>
                  </w:rPr>
                  <w:t> </w:t>
                </w:r>
                <w:r>
                  <w:rPr>
                    <w:rFonts w:ascii="Arial"/>
                    <w:w w:val="105"/>
                    <w:sz w:val="12"/>
                  </w:rPr>
                  <w:t>registered</w:t>
                </w:r>
                <w:r>
                  <w:rPr>
                    <w:rFonts w:ascii="Arial"/>
                    <w:spacing w:val="-7"/>
                    <w:w w:val="105"/>
                    <w:sz w:val="12"/>
                  </w:rPr>
                  <w:t> </w:t>
                </w:r>
                <w:r>
                  <w:rPr>
                    <w:rFonts w:ascii="Arial"/>
                    <w:w w:val="105"/>
                    <w:sz w:val="12"/>
                  </w:rPr>
                  <w:t>number:</w:t>
                </w:r>
                <w:r>
                  <w:rPr>
                    <w:rFonts w:ascii="Arial"/>
                    <w:spacing w:val="-7"/>
                    <w:w w:val="105"/>
                    <w:sz w:val="12"/>
                  </w:rPr>
                  <w:t> </w:t>
                </w:r>
                <w:r>
                  <w:rPr>
                    <w:rFonts w:ascii="Arial"/>
                    <w:w w:val="105"/>
                    <w:sz w:val="12"/>
                  </w:rPr>
                  <w:t>LH4339</w:t>
                </w:r>
                <w:r>
                  <w:rPr>
                    <w:rFonts w:ascii="Arial"/>
                    <w:spacing w:val="-7"/>
                    <w:w w:val="105"/>
                    <w:sz w:val="12"/>
                  </w:rPr>
                  <w:t> </w:t>
                </w:r>
                <w:r>
                  <w:rPr>
                    <w:rFonts w:ascii="Arial"/>
                    <w:w w:val="105"/>
                    <w:sz w:val="12"/>
                  </w:rPr>
                  <w:t>VAT</w:t>
                </w:r>
                <w:r>
                  <w:rPr>
                    <w:rFonts w:ascii="Arial"/>
                    <w:spacing w:val="-7"/>
                    <w:w w:val="105"/>
                    <w:sz w:val="12"/>
                  </w:rPr>
                  <w:t> </w:t>
                </w:r>
                <w:r>
                  <w:rPr>
                    <w:rFonts w:ascii="Arial"/>
                    <w:w w:val="105"/>
                    <w:sz w:val="12"/>
                  </w:rPr>
                  <w:t>no:</w:t>
                </w:r>
                <w:r>
                  <w:rPr>
                    <w:rFonts w:ascii="Arial"/>
                    <w:spacing w:val="-8"/>
                    <w:w w:val="105"/>
                    <w:sz w:val="12"/>
                  </w:rPr>
                  <w:t> </w:t>
                </w:r>
                <w:r>
                  <w:rPr>
                    <w:rFonts w:ascii="Arial"/>
                    <w:w w:val="105"/>
                    <w:sz w:val="12"/>
                  </w:rPr>
                  <w:t>787219194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80384">
          <wp:simplePos x="0" y="0"/>
          <wp:positionH relativeFrom="page">
            <wp:posOffset>2952750</wp:posOffset>
          </wp:positionH>
          <wp:positionV relativeFrom="page">
            <wp:posOffset>238124</wp:posOffset>
          </wp:positionV>
          <wp:extent cx="1616145" cy="99758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16145" cy="99758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54" w:hanging="360"/>
      </w:pPr>
      <w:rPr>
        <w:rFonts w:hint="default"/>
        <w:w w:val="99"/>
        <w:lang w:val="en-US" w:eastAsia="en-US" w:bidi="en-US"/>
      </w:rPr>
    </w:lvl>
    <w:lvl w:ilvl="1">
      <w:start w:val="0"/>
      <w:numFmt w:val="bullet"/>
      <w:lvlText w:val="•"/>
      <w:lvlJc w:val="left"/>
      <w:pPr>
        <w:ind w:left="1806" w:hanging="360"/>
      </w:pPr>
      <w:rPr>
        <w:rFonts w:hint="default"/>
        <w:lang w:val="en-US" w:eastAsia="en-US" w:bidi="en-US"/>
      </w:rPr>
    </w:lvl>
    <w:lvl w:ilvl="2">
      <w:start w:val="0"/>
      <w:numFmt w:val="bullet"/>
      <w:lvlText w:val="•"/>
      <w:lvlJc w:val="left"/>
      <w:pPr>
        <w:ind w:left="2653" w:hanging="360"/>
      </w:pPr>
      <w:rPr>
        <w:rFonts w:hint="default"/>
        <w:lang w:val="en-US" w:eastAsia="en-US" w:bidi="en-US"/>
      </w:rPr>
    </w:lvl>
    <w:lvl w:ilvl="3">
      <w:start w:val="0"/>
      <w:numFmt w:val="bullet"/>
      <w:lvlText w:val="•"/>
      <w:lvlJc w:val="left"/>
      <w:pPr>
        <w:ind w:left="3499" w:hanging="360"/>
      </w:pPr>
      <w:rPr>
        <w:rFonts w:hint="default"/>
        <w:lang w:val="en-US" w:eastAsia="en-US" w:bidi="en-US"/>
      </w:rPr>
    </w:lvl>
    <w:lvl w:ilvl="4">
      <w:start w:val="0"/>
      <w:numFmt w:val="bullet"/>
      <w:lvlText w:val="•"/>
      <w:lvlJc w:val="left"/>
      <w:pPr>
        <w:ind w:left="4346" w:hanging="360"/>
      </w:pPr>
      <w:rPr>
        <w:rFonts w:hint="default"/>
        <w:lang w:val="en-US" w:eastAsia="en-US" w:bidi="en-US"/>
      </w:rPr>
    </w:lvl>
    <w:lvl w:ilvl="5">
      <w:start w:val="0"/>
      <w:numFmt w:val="bullet"/>
      <w:lvlText w:val="•"/>
      <w:lvlJc w:val="left"/>
      <w:pPr>
        <w:ind w:left="5193" w:hanging="360"/>
      </w:pPr>
      <w:rPr>
        <w:rFonts w:hint="default"/>
        <w:lang w:val="en-US" w:eastAsia="en-US" w:bidi="en-US"/>
      </w:rPr>
    </w:lvl>
    <w:lvl w:ilvl="6">
      <w:start w:val="0"/>
      <w:numFmt w:val="bullet"/>
      <w:lvlText w:val="•"/>
      <w:lvlJc w:val="left"/>
      <w:pPr>
        <w:ind w:left="6039" w:hanging="360"/>
      </w:pPr>
      <w:rPr>
        <w:rFonts w:hint="default"/>
        <w:lang w:val="en-US" w:eastAsia="en-US" w:bidi="en-US"/>
      </w:rPr>
    </w:lvl>
    <w:lvl w:ilvl="7">
      <w:start w:val="0"/>
      <w:numFmt w:val="bullet"/>
      <w:lvlText w:val="•"/>
      <w:lvlJc w:val="left"/>
      <w:pPr>
        <w:ind w:left="6886" w:hanging="360"/>
      </w:pPr>
      <w:rPr>
        <w:rFonts w:hint="default"/>
        <w:lang w:val="en-US" w:eastAsia="en-US" w:bidi="en-US"/>
      </w:rPr>
    </w:lvl>
    <w:lvl w:ilvl="8">
      <w:start w:val="0"/>
      <w:numFmt w:val="bullet"/>
      <w:lvlText w:val="•"/>
      <w:lvlJc w:val="left"/>
      <w:pPr>
        <w:ind w:left="7733" w:hanging="360"/>
      </w:pPr>
      <w:rPr>
        <w:rFonts w:hint="default"/>
        <w:lang w:val="en-US" w:eastAsia="en-US" w:bidi="en-US"/>
      </w:rPr>
    </w:lvl>
  </w:abstractNum>
  <w:abstractNum w:abstractNumId="1">
    <w:multiLevelType w:val="hybridMultilevel"/>
    <w:lvl w:ilvl="0">
      <w:start w:val="0"/>
      <w:numFmt w:val="bullet"/>
      <w:lvlText w:val=""/>
      <w:lvlJc w:val="left"/>
      <w:pPr>
        <w:ind w:left="594" w:hanging="360"/>
      </w:pPr>
      <w:rPr>
        <w:rFonts w:hint="default" w:ascii="Symbol" w:hAnsi="Symbol" w:eastAsia="Symbol" w:cs="Symbol"/>
        <w:w w:val="100"/>
        <w:sz w:val="22"/>
        <w:szCs w:val="22"/>
        <w:lang w:val="en-US" w:eastAsia="en-US" w:bidi="en-US"/>
      </w:rPr>
    </w:lvl>
    <w:lvl w:ilvl="1">
      <w:start w:val="0"/>
      <w:numFmt w:val="bullet"/>
      <w:lvlText w:val=""/>
      <w:lvlJc w:val="left"/>
      <w:pPr>
        <w:ind w:left="1086" w:hanging="425"/>
      </w:pPr>
      <w:rPr>
        <w:rFonts w:hint="default" w:ascii="Symbol" w:hAnsi="Symbol" w:eastAsia="Symbol" w:cs="Symbol"/>
        <w:w w:val="100"/>
        <w:sz w:val="22"/>
        <w:szCs w:val="22"/>
        <w:lang w:val="en-US" w:eastAsia="en-US" w:bidi="en-US"/>
      </w:rPr>
    </w:lvl>
    <w:lvl w:ilvl="2">
      <w:start w:val="0"/>
      <w:numFmt w:val="bullet"/>
      <w:lvlText w:val="•"/>
      <w:lvlJc w:val="left"/>
      <w:pPr>
        <w:ind w:left="2007" w:hanging="425"/>
      </w:pPr>
      <w:rPr>
        <w:rFonts w:hint="default"/>
        <w:lang w:val="en-US" w:eastAsia="en-US" w:bidi="en-US"/>
      </w:rPr>
    </w:lvl>
    <w:lvl w:ilvl="3">
      <w:start w:val="0"/>
      <w:numFmt w:val="bullet"/>
      <w:lvlText w:val="•"/>
      <w:lvlJc w:val="left"/>
      <w:pPr>
        <w:ind w:left="2934" w:hanging="425"/>
      </w:pPr>
      <w:rPr>
        <w:rFonts w:hint="default"/>
        <w:lang w:val="en-US" w:eastAsia="en-US" w:bidi="en-US"/>
      </w:rPr>
    </w:lvl>
    <w:lvl w:ilvl="4">
      <w:start w:val="0"/>
      <w:numFmt w:val="bullet"/>
      <w:lvlText w:val="•"/>
      <w:lvlJc w:val="left"/>
      <w:pPr>
        <w:ind w:left="3862" w:hanging="425"/>
      </w:pPr>
      <w:rPr>
        <w:rFonts w:hint="default"/>
        <w:lang w:val="en-US" w:eastAsia="en-US" w:bidi="en-US"/>
      </w:rPr>
    </w:lvl>
    <w:lvl w:ilvl="5">
      <w:start w:val="0"/>
      <w:numFmt w:val="bullet"/>
      <w:lvlText w:val="•"/>
      <w:lvlJc w:val="left"/>
      <w:pPr>
        <w:ind w:left="4789" w:hanging="425"/>
      </w:pPr>
      <w:rPr>
        <w:rFonts w:hint="default"/>
        <w:lang w:val="en-US" w:eastAsia="en-US" w:bidi="en-US"/>
      </w:rPr>
    </w:lvl>
    <w:lvl w:ilvl="6">
      <w:start w:val="0"/>
      <w:numFmt w:val="bullet"/>
      <w:lvlText w:val="•"/>
      <w:lvlJc w:val="left"/>
      <w:pPr>
        <w:ind w:left="5716" w:hanging="425"/>
      </w:pPr>
      <w:rPr>
        <w:rFonts w:hint="default"/>
        <w:lang w:val="en-US" w:eastAsia="en-US" w:bidi="en-US"/>
      </w:rPr>
    </w:lvl>
    <w:lvl w:ilvl="7">
      <w:start w:val="0"/>
      <w:numFmt w:val="bullet"/>
      <w:lvlText w:val="•"/>
      <w:lvlJc w:val="left"/>
      <w:pPr>
        <w:ind w:left="6644" w:hanging="425"/>
      </w:pPr>
      <w:rPr>
        <w:rFonts w:hint="default"/>
        <w:lang w:val="en-US" w:eastAsia="en-US" w:bidi="en-US"/>
      </w:rPr>
    </w:lvl>
    <w:lvl w:ilvl="8">
      <w:start w:val="0"/>
      <w:numFmt w:val="bullet"/>
      <w:lvlText w:val="•"/>
      <w:lvlJc w:val="left"/>
      <w:pPr>
        <w:ind w:left="7571" w:hanging="425"/>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en-US"/>
    </w:rPr>
  </w:style>
  <w:style w:styleId="BodyText" w:type="paragraph">
    <w:name w:val="Body Text"/>
    <w:basedOn w:val="Normal"/>
    <w:uiPriority w:val="1"/>
    <w:qFormat/>
    <w:pPr/>
    <w:rPr>
      <w:rFonts w:ascii="Trebuchet MS" w:hAnsi="Trebuchet MS" w:eastAsia="Trebuchet MS" w:cs="Trebuchet MS"/>
      <w:sz w:val="22"/>
      <w:szCs w:val="22"/>
      <w:lang w:val="en-US" w:eastAsia="en-US" w:bidi="en-US"/>
    </w:rPr>
  </w:style>
  <w:style w:styleId="Heading1" w:type="paragraph">
    <w:name w:val="Heading 1"/>
    <w:basedOn w:val="Normal"/>
    <w:uiPriority w:val="1"/>
    <w:qFormat/>
    <w:pPr>
      <w:ind w:left="234"/>
      <w:jc w:val="both"/>
      <w:outlineLvl w:val="1"/>
    </w:pPr>
    <w:rPr>
      <w:rFonts w:ascii="Trebuchet MS" w:hAnsi="Trebuchet MS" w:eastAsia="Trebuchet MS" w:cs="Trebuchet MS"/>
      <w:b/>
      <w:bCs/>
      <w:sz w:val="22"/>
      <w:szCs w:val="22"/>
      <w:lang w:val="en-US" w:eastAsia="en-US" w:bidi="en-US"/>
    </w:rPr>
  </w:style>
  <w:style w:styleId="ListParagraph" w:type="paragraph">
    <w:name w:val="List Paragraph"/>
    <w:basedOn w:val="Normal"/>
    <w:uiPriority w:val="1"/>
    <w:qFormat/>
    <w:pPr>
      <w:ind w:left="954" w:hanging="360"/>
    </w:pPr>
    <w:rPr>
      <w:rFonts w:ascii="Trebuchet MS" w:hAnsi="Trebuchet MS" w:eastAsia="Trebuchet MS" w:cs="Trebuchet MS"/>
      <w:lang w:val="en-US" w:eastAsia="en-US" w:bidi="en-US"/>
    </w:rPr>
  </w:style>
  <w:style w:styleId="TableParagraph" w:type="paragraph">
    <w:name w:val="Table Paragraph"/>
    <w:basedOn w:val="Normal"/>
    <w:uiPriority w:val="1"/>
    <w:qFormat/>
    <w:pPr>
      <w:spacing w:line="212" w:lineRule="exact"/>
      <w:ind w:left="107"/>
    </w:pPr>
    <w:rPr>
      <w:rFonts w:ascii="Trebuchet MS" w:hAnsi="Trebuchet MS" w:eastAsia="Trebuchet MS" w:cs="Trebuchet MS"/>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havebu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TUAN ANH</dc:creator>
  <dcterms:created xsi:type="dcterms:W3CDTF">2019-11-13T11:30:14Z</dcterms:created>
  <dcterms:modified xsi:type="dcterms:W3CDTF">2019-11-13T11:30:14Z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Word for Office 365</vt:lpwstr>
  </property>
  <property fmtid="{D5CDD505-2E9C-101B-9397-08002B2CF9AE}" pid="4" name="LastSaved">
    <vt:filetime>2019-11-13T00:00:00Z</vt:filetime>
  </property>
</Properties>
</file>