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3FAD0" w14:textId="6F1AAC18" w:rsidR="00F119C4" w:rsidRDefault="00966E57" w:rsidP="0005212D">
      <w:pPr>
        <w:jc w:val="center"/>
      </w:pPr>
      <w:r w:rsidRPr="004B1461">
        <w:rPr>
          <w:noProof/>
        </w:rPr>
        <w:drawing>
          <wp:anchor distT="0" distB="0" distL="114300" distR="114300" simplePos="0" relativeHeight="251661312" behindDoc="1" locked="0" layoutInCell="1" allowOverlap="1" wp14:anchorId="35B49DBA" wp14:editId="496BE627">
            <wp:simplePos x="0" y="0"/>
            <wp:positionH relativeFrom="margin">
              <wp:align>center</wp:align>
            </wp:positionH>
            <wp:positionV relativeFrom="paragraph">
              <wp:posOffset>0</wp:posOffset>
            </wp:positionV>
            <wp:extent cx="1901190" cy="1144270"/>
            <wp:effectExtent l="0" t="0" r="3810" b="0"/>
            <wp:wrapTight wrapText="bothSides">
              <wp:wrapPolygon edited="0">
                <wp:start x="0" y="0"/>
                <wp:lineTo x="0" y="21216"/>
                <wp:lineTo x="21427" y="21216"/>
                <wp:lineTo x="214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Logos and Statements\New Havebury Logo 11.09.05.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01190" cy="1144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9E629" w14:textId="77777777" w:rsidR="0005212D" w:rsidRDefault="0005212D" w:rsidP="0005212D">
      <w:pPr>
        <w:jc w:val="left"/>
      </w:pPr>
    </w:p>
    <w:p w14:paraId="62FFA29C" w14:textId="77777777" w:rsidR="0005212D" w:rsidRDefault="0005212D" w:rsidP="0005212D">
      <w:pPr>
        <w:jc w:val="left"/>
      </w:pPr>
    </w:p>
    <w:p w14:paraId="040E3436" w14:textId="77777777" w:rsidR="0005212D" w:rsidRDefault="0005212D" w:rsidP="0005212D">
      <w:pPr>
        <w:jc w:val="left"/>
      </w:pPr>
    </w:p>
    <w:p w14:paraId="2FF5A08F" w14:textId="77777777" w:rsidR="0005212D" w:rsidRDefault="0005212D" w:rsidP="0005212D">
      <w:pPr>
        <w:jc w:val="left"/>
      </w:pPr>
    </w:p>
    <w:p w14:paraId="7D1D567A" w14:textId="77777777" w:rsidR="0005212D" w:rsidRDefault="0005212D" w:rsidP="0005212D">
      <w:pPr>
        <w:jc w:val="left"/>
      </w:pPr>
    </w:p>
    <w:p w14:paraId="698B7FED" w14:textId="77777777" w:rsidR="0005212D" w:rsidRDefault="0005212D" w:rsidP="0005212D">
      <w:pPr>
        <w:jc w:val="left"/>
      </w:pPr>
    </w:p>
    <w:p w14:paraId="27B79FCF" w14:textId="77777777" w:rsidR="0005212D" w:rsidRDefault="0005212D" w:rsidP="0005212D">
      <w:pPr>
        <w:jc w:val="left"/>
      </w:pPr>
    </w:p>
    <w:p w14:paraId="4A7A9394" w14:textId="77777777" w:rsidR="0005212D" w:rsidRDefault="0005212D" w:rsidP="0005212D">
      <w:pPr>
        <w:jc w:val="center"/>
        <w:rPr>
          <w:b/>
          <w:sz w:val="40"/>
          <w:szCs w:val="40"/>
        </w:rPr>
      </w:pPr>
      <w:r>
        <w:rPr>
          <w:b/>
          <w:sz w:val="40"/>
          <w:szCs w:val="40"/>
        </w:rPr>
        <w:t xml:space="preserve">Havebury Housing Partnership </w:t>
      </w:r>
    </w:p>
    <w:p w14:paraId="5B7C6443" w14:textId="77777777" w:rsidR="0005212D" w:rsidRDefault="0005212D" w:rsidP="0005212D">
      <w:pPr>
        <w:jc w:val="center"/>
        <w:rPr>
          <w:b/>
          <w:sz w:val="40"/>
          <w:szCs w:val="40"/>
        </w:rPr>
      </w:pPr>
    </w:p>
    <w:p w14:paraId="4E1F53D4" w14:textId="77777777" w:rsidR="00BA7D46" w:rsidRPr="005975D4" w:rsidRDefault="00BA7D46">
      <w:pPr>
        <w:jc w:val="center"/>
        <w:rPr>
          <w:b/>
          <w:sz w:val="40"/>
        </w:rPr>
      </w:pPr>
    </w:p>
    <w:p w14:paraId="22DFBEAA" w14:textId="77777777" w:rsidR="00BA7D46" w:rsidRPr="005975D4" w:rsidRDefault="00BA7D46">
      <w:pPr>
        <w:jc w:val="center"/>
        <w:rPr>
          <w:b/>
          <w:sz w:val="40"/>
        </w:rPr>
      </w:pPr>
    </w:p>
    <w:p w14:paraId="7CA240A4" w14:textId="77777777" w:rsidR="00BA7D46" w:rsidRPr="005975D4" w:rsidRDefault="00BA7D46">
      <w:pPr>
        <w:jc w:val="center"/>
        <w:rPr>
          <w:b/>
          <w:sz w:val="40"/>
        </w:rPr>
      </w:pPr>
    </w:p>
    <w:p w14:paraId="7796DF51" w14:textId="77777777" w:rsidR="00BA7D46" w:rsidRPr="005975D4" w:rsidRDefault="00E51C46">
      <w:pPr>
        <w:jc w:val="center"/>
        <w:rPr>
          <w:b/>
          <w:sz w:val="48"/>
        </w:rPr>
      </w:pPr>
      <w:r w:rsidRPr="005975D4">
        <w:rPr>
          <w:b/>
          <w:sz w:val="48"/>
        </w:rPr>
        <w:t>LEASEHOLD MANAGEMENT</w:t>
      </w:r>
    </w:p>
    <w:p w14:paraId="72021D7C" w14:textId="77777777" w:rsidR="00E51C46" w:rsidRPr="005975D4" w:rsidRDefault="00E51C46" w:rsidP="00E51C46">
      <w:pPr>
        <w:jc w:val="center"/>
        <w:rPr>
          <w:b/>
          <w:sz w:val="48"/>
        </w:rPr>
      </w:pPr>
    </w:p>
    <w:p w14:paraId="56321003" w14:textId="77777777" w:rsidR="00E51C46" w:rsidRPr="005975D4" w:rsidRDefault="00E51C46" w:rsidP="00E51C46">
      <w:pPr>
        <w:jc w:val="center"/>
      </w:pPr>
    </w:p>
    <w:p w14:paraId="599D2791" w14:textId="77777777" w:rsidR="00BA7D46" w:rsidRPr="00244D99" w:rsidRDefault="00BA7D46" w:rsidP="005975D4">
      <w:pPr>
        <w:jc w:val="center"/>
      </w:pPr>
    </w:p>
    <w:p w14:paraId="7D03D5C4" w14:textId="77777777" w:rsidR="004D0B73" w:rsidRDefault="004D0B73" w:rsidP="005975D4">
      <w:pPr>
        <w:jc w:val="center"/>
      </w:pPr>
    </w:p>
    <w:p w14:paraId="172CB638" w14:textId="77777777" w:rsidR="004D0B73" w:rsidRDefault="004D0B73" w:rsidP="005975D4">
      <w:pPr>
        <w:jc w:val="center"/>
      </w:pPr>
    </w:p>
    <w:p w14:paraId="2957391E" w14:textId="77777777" w:rsidR="004D0B73" w:rsidRDefault="004D0B73" w:rsidP="005975D4">
      <w:pPr>
        <w:jc w:val="center"/>
      </w:pPr>
    </w:p>
    <w:p w14:paraId="12370546" w14:textId="77777777" w:rsidR="004D0B73" w:rsidRPr="0005212D" w:rsidRDefault="004D0B73" w:rsidP="005975D4">
      <w:pPr>
        <w:jc w:val="center"/>
      </w:pPr>
    </w:p>
    <w:p w14:paraId="63D20BF2" w14:textId="77777777" w:rsidR="004D0B73" w:rsidRDefault="004D0B73" w:rsidP="005975D4">
      <w:pPr>
        <w:jc w:val="cente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13"/>
        <w:gridCol w:w="5984"/>
      </w:tblGrid>
      <w:tr w:rsidR="0005212D" w14:paraId="06EE804E" w14:textId="77777777" w:rsidTr="0005212D">
        <w:trPr>
          <w:trHeight w:val="480"/>
        </w:trPr>
        <w:tc>
          <w:tcPr>
            <w:tcW w:w="3078" w:type="dxa"/>
            <w:vAlign w:val="center"/>
          </w:tcPr>
          <w:p w14:paraId="0C2121A0" w14:textId="77777777" w:rsidR="0005212D" w:rsidRDefault="0005212D" w:rsidP="0005212D">
            <w:pPr>
              <w:jc w:val="left"/>
            </w:pPr>
            <w:r>
              <w:t>Unique Reference No</w:t>
            </w:r>
          </w:p>
        </w:tc>
        <w:tc>
          <w:tcPr>
            <w:tcW w:w="6165" w:type="dxa"/>
            <w:vAlign w:val="center"/>
          </w:tcPr>
          <w:p w14:paraId="6E13C160" w14:textId="77777777" w:rsidR="0005212D" w:rsidRPr="00A2132B" w:rsidRDefault="002460E7" w:rsidP="0005212D">
            <w:pPr>
              <w:jc w:val="left"/>
              <w:rPr>
                <w:b/>
              </w:rPr>
            </w:pPr>
            <w:r>
              <w:rPr>
                <w:b/>
              </w:rPr>
              <w:t>HS</w:t>
            </w:r>
            <w:r w:rsidR="007367A4">
              <w:rPr>
                <w:b/>
              </w:rPr>
              <w:t xml:space="preserve"> </w:t>
            </w:r>
            <w:r>
              <w:rPr>
                <w:b/>
              </w:rPr>
              <w:t>017</w:t>
            </w:r>
          </w:p>
        </w:tc>
      </w:tr>
      <w:tr w:rsidR="0005212D" w14:paraId="33D32062" w14:textId="77777777" w:rsidTr="0005212D">
        <w:trPr>
          <w:trHeight w:val="480"/>
        </w:trPr>
        <w:tc>
          <w:tcPr>
            <w:tcW w:w="3078" w:type="dxa"/>
            <w:vAlign w:val="center"/>
          </w:tcPr>
          <w:p w14:paraId="06BCF0B4" w14:textId="77777777" w:rsidR="0005212D" w:rsidRDefault="0005212D" w:rsidP="0005212D">
            <w:pPr>
              <w:jc w:val="left"/>
            </w:pPr>
            <w:r>
              <w:t>Date created</w:t>
            </w:r>
          </w:p>
        </w:tc>
        <w:tc>
          <w:tcPr>
            <w:tcW w:w="6165" w:type="dxa"/>
            <w:vAlign w:val="center"/>
          </w:tcPr>
          <w:p w14:paraId="196ADDFE" w14:textId="3928C683" w:rsidR="0005212D" w:rsidRPr="0005212D" w:rsidRDefault="00A96B30" w:rsidP="0005212D">
            <w:pPr>
              <w:jc w:val="left"/>
            </w:pPr>
            <w:r>
              <w:t xml:space="preserve">February </w:t>
            </w:r>
            <w:r w:rsidR="00842793">
              <w:t>2021</w:t>
            </w:r>
          </w:p>
        </w:tc>
      </w:tr>
      <w:tr w:rsidR="0005212D" w14:paraId="1D9C907A" w14:textId="77777777" w:rsidTr="0005212D">
        <w:trPr>
          <w:trHeight w:val="480"/>
        </w:trPr>
        <w:tc>
          <w:tcPr>
            <w:tcW w:w="3078" w:type="dxa"/>
            <w:vAlign w:val="center"/>
          </w:tcPr>
          <w:p w14:paraId="458E118A" w14:textId="77777777" w:rsidR="0005212D" w:rsidRDefault="0005212D" w:rsidP="0005212D">
            <w:pPr>
              <w:jc w:val="left"/>
            </w:pPr>
            <w:r>
              <w:t>Date for review</w:t>
            </w:r>
          </w:p>
        </w:tc>
        <w:tc>
          <w:tcPr>
            <w:tcW w:w="6165" w:type="dxa"/>
            <w:vAlign w:val="center"/>
          </w:tcPr>
          <w:p w14:paraId="7643AEF9" w14:textId="7E3DA88B" w:rsidR="0005212D" w:rsidRPr="0005212D" w:rsidRDefault="00842793" w:rsidP="0005212D">
            <w:pPr>
              <w:jc w:val="left"/>
            </w:pPr>
            <w:r>
              <w:t>February 2024</w:t>
            </w:r>
            <w:r w:rsidR="008748FD">
              <w:t xml:space="preserve"> </w:t>
            </w:r>
            <w:r w:rsidR="00A96B30">
              <w:t>(</w:t>
            </w:r>
            <w:r w:rsidR="008748FD">
              <w:t>or when legislation/good practice changes</w:t>
            </w:r>
            <w:r w:rsidR="00A96B30">
              <w:t>)</w:t>
            </w:r>
          </w:p>
        </w:tc>
      </w:tr>
      <w:tr w:rsidR="0005212D" w14:paraId="2954C33F" w14:textId="77777777" w:rsidTr="0005212D">
        <w:trPr>
          <w:trHeight w:val="480"/>
        </w:trPr>
        <w:tc>
          <w:tcPr>
            <w:tcW w:w="3078" w:type="dxa"/>
            <w:vAlign w:val="center"/>
          </w:tcPr>
          <w:p w14:paraId="1A5F6247" w14:textId="77777777" w:rsidR="0005212D" w:rsidRDefault="0005212D" w:rsidP="0005212D">
            <w:pPr>
              <w:jc w:val="left"/>
            </w:pPr>
            <w:r>
              <w:t>Author</w:t>
            </w:r>
          </w:p>
        </w:tc>
        <w:tc>
          <w:tcPr>
            <w:tcW w:w="6165" w:type="dxa"/>
            <w:vAlign w:val="center"/>
          </w:tcPr>
          <w:p w14:paraId="5849FBFB" w14:textId="1DA06049" w:rsidR="0005212D" w:rsidRPr="0005212D" w:rsidRDefault="00842793" w:rsidP="00A2132B">
            <w:pPr>
              <w:jc w:val="left"/>
            </w:pPr>
            <w:r>
              <w:t>Amy St Ledger</w:t>
            </w:r>
          </w:p>
        </w:tc>
      </w:tr>
      <w:tr w:rsidR="0005212D" w14:paraId="6BBD58CB" w14:textId="77777777" w:rsidTr="0005212D">
        <w:trPr>
          <w:trHeight w:val="480"/>
        </w:trPr>
        <w:tc>
          <w:tcPr>
            <w:tcW w:w="3078" w:type="dxa"/>
            <w:vAlign w:val="center"/>
          </w:tcPr>
          <w:p w14:paraId="33D3136A" w14:textId="77777777" w:rsidR="0005212D" w:rsidRDefault="0005212D" w:rsidP="0005212D">
            <w:pPr>
              <w:jc w:val="left"/>
            </w:pPr>
            <w:r>
              <w:t>Version Number</w:t>
            </w:r>
          </w:p>
        </w:tc>
        <w:tc>
          <w:tcPr>
            <w:tcW w:w="6165" w:type="dxa"/>
            <w:vAlign w:val="center"/>
          </w:tcPr>
          <w:p w14:paraId="439CA6F2" w14:textId="7CA0CA25" w:rsidR="0005212D" w:rsidRPr="0005212D" w:rsidRDefault="00A96B30" w:rsidP="0005212D">
            <w:pPr>
              <w:jc w:val="left"/>
            </w:pPr>
            <w:r>
              <w:t>1</w:t>
            </w:r>
            <w:r w:rsidR="00842793">
              <w:t>.</w:t>
            </w:r>
            <w:r w:rsidR="00966E57">
              <w:t>4</w:t>
            </w:r>
          </w:p>
        </w:tc>
      </w:tr>
      <w:tr w:rsidR="0005212D" w14:paraId="06B9BAF2" w14:textId="77777777" w:rsidTr="0005212D">
        <w:trPr>
          <w:trHeight w:val="480"/>
        </w:trPr>
        <w:tc>
          <w:tcPr>
            <w:tcW w:w="3078" w:type="dxa"/>
            <w:vAlign w:val="center"/>
          </w:tcPr>
          <w:p w14:paraId="5A045D81" w14:textId="77777777" w:rsidR="0005212D" w:rsidRDefault="0005212D" w:rsidP="0005212D">
            <w:pPr>
              <w:jc w:val="left"/>
            </w:pPr>
            <w:r>
              <w:t>Status</w:t>
            </w:r>
          </w:p>
        </w:tc>
        <w:tc>
          <w:tcPr>
            <w:tcW w:w="6165" w:type="dxa"/>
            <w:vAlign w:val="center"/>
          </w:tcPr>
          <w:p w14:paraId="7483FE25" w14:textId="2CCF1E3A" w:rsidR="0005212D" w:rsidRPr="0005212D" w:rsidRDefault="00E05C2C" w:rsidP="0005212D">
            <w:pPr>
              <w:jc w:val="left"/>
            </w:pPr>
            <w:r>
              <w:t>Approved</w:t>
            </w:r>
          </w:p>
        </w:tc>
      </w:tr>
      <w:tr w:rsidR="0005212D" w14:paraId="43434E62" w14:textId="77777777" w:rsidTr="0005212D">
        <w:trPr>
          <w:trHeight w:val="480"/>
        </w:trPr>
        <w:tc>
          <w:tcPr>
            <w:tcW w:w="3078" w:type="dxa"/>
            <w:vAlign w:val="center"/>
          </w:tcPr>
          <w:p w14:paraId="1E457FCD" w14:textId="77777777" w:rsidR="0005212D" w:rsidRDefault="0005212D" w:rsidP="0005212D">
            <w:pPr>
              <w:jc w:val="left"/>
            </w:pPr>
            <w:r>
              <w:t>Accountable Director</w:t>
            </w:r>
          </w:p>
        </w:tc>
        <w:tc>
          <w:tcPr>
            <w:tcW w:w="6165" w:type="dxa"/>
            <w:vAlign w:val="center"/>
          </w:tcPr>
          <w:p w14:paraId="6B44A38D" w14:textId="77777777" w:rsidR="0005212D" w:rsidRPr="0005212D" w:rsidRDefault="005964C9" w:rsidP="0005212D">
            <w:pPr>
              <w:jc w:val="left"/>
            </w:pPr>
            <w:r>
              <w:t>Director of Operations</w:t>
            </w:r>
          </w:p>
        </w:tc>
      </w:tr>
      <w:tr w:rsidR="0005212D" w14:paraId="75BE8C72" w14:textId="77777777" w:rsidTr="0005212D">
        <w:trPr>
          <w:trHeight w:val="480"/>
        </w:trPr>
        <w:tc>
          <w:tcPr>
            <w:tcW w:w="3078" w:type="dxa"/>
            <w:vAlign w:val="center"/>
          </w:tcPr>
          <w:p w14:paraId="0822F0AE" w14:textId="77777777" w:rsidR="0005212D" w:rsidRDefault="0005212D" w:rsidP="0005212D">
            <w:pPr>
              <w:jc w:val="left"/>
            </w:pPr>
            <w:r>
              <w:t>Tenant Consultation</w:t>
            </w:r>
          </w:p>
        </w:tc>
        <w:tc>
          <w:tcPr>
            <w:tcW w:w="6165" w:type="dxa"/>
            <w:vAlign w:val="center"/>
          </w:tcPr>
          <w:p w14:paraId="3F77E5FA" w14:textId="6FA6A250" w:rsidR="0005212D" w:rsidRPr="0005212D" w:rsidRDefault="00A96B30" w:rsidP="0005212D">
            <w:pPr>
              <w:jc w:val="left"/>
            </w:pPr>
            <w:r>
              <w:t xml:space="preserve">08/03/2021 – </w:t>
            </w:r>
            <w:r w:rsidR="00842793">
              <w:t>Tenant</w:t>
            </w:r>
            <w:r>
              <w:t>s’</w:t>
            </w:r>
            <w:r w:rsidR="00842793">
              <w:t xml:space="preserve"> Forum</w:t>
            </w:r>
            <w:r>
              <w:t xml:space="preserve"> Meeting</w:t>
            </w:r>
          </w:p>
        </w:tc>
      </w:tr>
      <w:tr w:rsidR="0005212D" w14:paraId="1D6FA8D8" w14:textId="77777777" w:rsidTr="0005212D">
        <w:trPr>
          <w:trHeight w:val="480"/>
        </w:trPr>
        <w:tc>
          <w:tcPr>
            <w:tcW w:w="3078" w:type="dxa"/>
            <w:vAlign w:val="center"/>
          </w:tcPr>
          <w:p w14:paraId="2A1EEF72" w14:textId="77777777" w:rsidR="0005212D" w:rsidRDefault="0005212D" w:rsidP="0005212D">
            <w:pPr>
              <w:jc w:val="left"/>
            </w:pPr>
            <w:r>
              <w:t>Equality &amp; Diversity Impact Assessment</w:t>
            </w:r>
          </w:p>
        </w:tc>
        <w:tc>
          <w:tcPr>
            <w:tcW w:w="6165" w:type="dxa"/>
            <w:vAlign w:val="center"/>
          </w:tcPr>
          <w:p w14:paraId="7FD4AFF8" w14:textId="326808A5" w:rsidR="0005212D" w:rsidRPr="0005212D" w:rsidRDefault="00BD5BE7" w:rsidP="007629C2">
            <w:pPr>
              <w:jc w:val="left"/>
            </w:pPr>
            <w:r>
              <w:t xml:space="preserve">In </w:t>
            </w:r>
            <w:r w:rsidR="00A96B30">
              <w:t>P</w:t>
            </w:r>
            <w:r>
              <w:t>rogress</w:t>
            </w:r>
          </w:p>
        </w:tc>
      </w:tr>
      <w:tr w:rsidR="00A96B30" w14:paraId="2B5BDD35" w14:textId="77777777" w:rsidTr="0005212D">
        <w:trPr>
          <w:trHeight w:val="480"/>
        </w:trPr>
        <w:tc>
          <w:tcPr>
            <w:tcW w:w="3078" w:type="dxa"/>
            <w:vAlign w:val="center"/>
          </w:tcPr>
          <w:p w14:paraId="2DD0BC2C" w14:textId="32C0F03C" w:rsidR="00A96B30" w:rsidRDefault="00A96B30" w:rsidP="0005212D">
            <w:pPr>
              <w:jc w:val="left"/>
            </w:pPr>
            <w:r>
              <w:t>Legal Advice Sought</w:t>
            </w:r>
          </w:p>
        </w:tc>
        <w:tc>
          <w:tcPr>
            <w:tcW w:w="6165" w:type="dxa"/>
            <w:vAlign w:val="center"/>
          </w:tcPr>
          <w:p w14:paraId="3BCFBB93" w14:textId="2E992E45" w:rsidR="00A96B30" w:rsidRPr="00A96B30" w:rsidRDefault="00A96B30" w:rsidP="007629C2">
            <w:pPr>
              <w:jc w:val="left"/>
            </w:pPr>
            <w:r w:rsidRPr="00A96B30">
              <w:rPr>
                <w:i/>
                <w:iCs/>
              </w:rPr>
              <w:t>Not Required</w:t>
            </w:r>
            <w:r>
              <w:t xml:space="preserve"> – Compliance with s20 consultation main legislation</w:t>
            </w:r>
          </w:p>
        </w:tc>
      </w:tr>
    </w:tbl>
    <w:p w14:paraId="5FAD21BC" w14:textId="77777777" w:rsidR="0005212D" w:rsidRDefault="0005212D" w:rsidP="0005212D">
      <w:pPr>
        <w:jc w:val="center"/>
      </w:pPr>
    </w:p>
    <w:p w14:paraId="0FF41D24" w14:textId="566EB9DD" w:rsidR="0005212D" w:rsidRPr="00A96B30" w:rsidRDefault="0005212D" w:rsidP="008F27E4">
      <w:pPr>
        <w:jc w:val="left"/>
        <w:rPr>
          <w:b/>
          <w:sz w:val="22"/>
          <w:szCs w:val="22"/>
        </w:rPr>
      </w:pPr>
      <w:r>
        <w:br w:type="page"/>
      </w:r>
      <w:r w:rsidR="008F27E4" w:rsidRPr="00A96B30">
        <w:rPr>
          <w:b/>
          <w:bCs/>
        </w:rPr>
        <w:lastRenderedPageBreak/>
        <w:t>1</w:t>
      </w:r>
      <w:r w:rsidR="008F27E4">
        <w:tab/>
      </w:r>
      <w:r w:rsidRPr="00A96B30">
        <w:rPr>
          <w:b/>
          <w:sz w:val="22"/>
          <w:szCs w:val="22"/>
        </w:rPr>
        <w:t>Responsibility</w:t>
      </w:r>
    </w:p>
    <w:p w14:paraId="230E9A83" w14:textId="77777777" w:rsidR="005964C9" w:rsidRPr="00A96B30" w:rsidRDefault="005964C9" w:rsidP="005964C9">
      <w:pPr>
        <w:ind w:left="1080"/>
        <w:jc w:val="left"/>
        <w:rPr>
          <w:b/>
          <w:sz w:val="22"/>
          <w:szCs w:val="22"/>
        </w:rPr>
      </w:pPr>
    </w:p>
    <w:p w14:paraId="024A626B" w14:textId="7D5C2E06" w:rsidR="00BA7D46" w:rsidRPr="00A96B30" w:rsidRDefault="00BA7D46" w:rsidP="005975D4">
      <w:pPr>
        <w:tabs>
          <w:tab w:val="left" w:pos="720"/>
          <w:tab w:val="left" w:pos="1440"/>
        </w:tabs>
        <w:ind w:left="720" w:hanging="720"/>
        <w:jc w:val="left"/>
        <w:rPr>
          <w:sz w:val="22"/>
          <w:szCs w:val="22"/>
        </w:rPr>
      </w:pPr>
      <w:r w:rsidRPr="00A96B30">
        <w:rPr>
          <w:sz w:val="22"/>
          <w:szCs w:val="22"/>
        </w:rPr>
        <w:t>1.1</w:t>
      </w:r>
      <w:r w:rsidRPr="00A96B30">
        <w:rPr>
          <w:sz w:val="22"/>
          <w:szCs w:val="22"/>
        </w:rPr>
        <w:tab/>
      </w:r>
      <w:r w:rsidR="00842793" w:rsidRPr="00A96B30">
        <w:rPr>
          <w:sz w:val="22"/>
          <w:szCs w:val="22"/>
        </w:rPr>
        <w:t>Operations Committee</w:t>
      </w:r>
      <w:r w:rsidR="002460E7" w:rsidRPr="00A96B30">
        <w:rPr>
          <w:sz w:val="22"/>
          <w:szCs w:val="22"/>
        </w:rPr>
        <w:t xml:space="preserve"> </w:t>
      </w:r>
      <w:r w:rsidRPr="00A96B30">
        <w:rPr>
          <w:sz w:val="22"/>
          <w:szCs w:val="22"/>
        </w:rPr>
        <w:t xml:space="preserve">is </w:t>
      </w:r>
      <w:r w:rsidR="002460E7" w:rsidRPr="00A96B30">
        <w:rPr>
          <w:sz w:val="22"/>
          <w:szCs w:val="22"/>
        </w:rPr>
        <w:t xml:space="preserve">responsible </w:t>
      </w:r>
      <w:r w:rsidRPr="00A96B30">
        <w:rPr>
          <w:sz w:val="22"/>
          <w:szCs w:val="22"/>
        </w:rPr>
        <w:t xml:space="preserve">for </w:t>
      </w:r>
      <w:r w:rsidR="002460E7" w:rsidRPr="00A96B30">
        <w:rPr>
          <w:sz w:val="22"/>
          <w:szCs w:val="22"/>
        </w:rPr>
        <w:t>approval</w:t>
      </w:r>
      <w:r w:rsidRPr="00A96B30">
        <w:rPr>
          <w:sz w:val="22"/>
          <w:szCs w:val="22"/>
        </w:rPr>
        <w:t xml:space="preserve"> and </w:t>
      </w:r>
      <w:r w:rsidR="002460E7" w:rsidRPr="00A96B30">
        <w:rPr>
          <w:sz w:val="22"/>
          <w:szCs w:val="22"/>
        </w:rPr>
        <w:t>oversight</w:t>
      </w:r>
      <w:r w:rsidRPr="00A96B30">
        <w:rPr>
          <w:sz w:val="22"/>
          <w:szCs w:val="22"/>
        </w:rPr>
        <w:t xml:space="preserve"> </w:t>
      </w:r>
      <w:r w:rsidR="00842793" w:rsidRPr="00A96B30">
        <w:rPr>
          <w:sz w:val="22"/>
          <w:szCs w:val="22"/>
        </w:rPr>
        <w:t>of this policy. T</w:t>
      </w:r>
      <w:r w:rsidR="002460E7" w:rsidRPr="00A96B30">
        <w:rPr>
          <w:sz w:val="22"/>
          <w:szCs w:val="22"/>
        </w:rPr>
        <w:t xml:space="preserve">he </w:t>
      </w:r>
      <w:r w:rsidR="00842793" w:rsidRPr="00A96B30">
        <w:rPr>
          <w:sz w:val="22"/>
          <w:szCs w:val="22"/>
        </w:rPr>
        <w:t>Financial Controller</w:t>
      </w:r>
      <w:r w:rsidR="002460E7" w:rsidRPr="00A96B30">
        <w:rPr>
          <w:sz w:val="22"/>
          <w:szCs w:val="22"/>
        </w:rPr>
        <w:t>, Senior Accountant (Resident Services)</w:t>
      </w:r>
      <w:r w:rsidRPr="00A96B30">
        <w:rPr>
          <w:sz w:val="22"/>
          <w:szCs w:val="22"/>
        </w:rPr>
        <w:t xml:space="preserve"> </w:t>
      </w:r>
      <w:r w:rsidR="00AB622F" w:rsidRPr="00A96B30">
        <w:rPr>
          <w:sz w:val="22"/>
          <w:szCs w:val="22"/>
        </w:rPr>
        <w:t xml:space="preserve">and Tenancy &amp; Estates Services Manager </w:t>
      </w:r>
      <w:r w:rsidRPr="00A96B30">
        <w:rPr>
          <w:sz w:val="22"/>
          <w:szCs w:val="22"/>
        </w:rPr>
        <w:t xml:space="preserve">and </w:t>
      </w:r>
      <w:r w:rsidR="00842793" w:rsidRPr="00A96B30">
        <w:rPr>
          <w:sz w:val="22"/>
          <w:szCs w:val="22"/>
        </w:rPr>
        <w:t xml:space="preserve">other </w:t>
      </w:r>
      <w:r w:rsidR="002460E7" w:rsidRPr="00A96B30">
        <w:rPr>
          <w:sz w:val="22"/>
          <w:szCs w:val="22"/>
        </w:rPr>
        <w:t>delegated staff are responsible for delivery</w:t>
      </w:r>
      <w:r w:rsidRPr="00A96B30">
        <w:rPr>
          <w:sz w:val="22"/>
          <w:szCs w:val="22"/>
        </w:rPr>
        <w:t>.</w:t>
      </w:r>
    </w:p>
    <w:p w14:paraId="0DB1E052" w14:textId="77777777" w:rsidR="005964C9" w:rsidRPr="00A96B30" w:rsidRDefault="005964C9" w:rsidP="008F27E4">
      <w:pPr>
        <w:tabs>
          <w:tab w:val="left" w:pos="720"/>
          <w:tab w:val="left" w:pos="1440"/>
        </w:tabs>
        <w:jc w:val="left"/>
        <w:rPr>
          <w:sz w:val="22"/>
          <w:szCs w:val="22"/>
        </w:rPr>
      </w:pPr>
    </w:p>
    <w:p w14:paraId="7BF75804" w14:textId="4590DC0A" w:rsidR="0005212D" w:rsidRPr="00A96B30" w:rsidRDefault="0005212D" w:rsidP="0005212D">
      <w:pPr>
        <w:tabs>
          <w:tab w:val="left" w:pos="720"/>
          <w:tab w:val="left" w:pos="1440"/>
        </w:tabs>
        <w:ind w:left="720" w:hanging="720"/>
        <w:jc w:val="left"/>
        <w:rPr>
          <w:b/>
          <w:sz w:val="22"/>
          <w:szCs w:val="22"/>
        </w:rPr>
      </w:pPr>
      <w:r w:rsidRPr="00A96B30">
        <w:rPr>
          <w:b/>
          <w:sz w:val="22"/>
          <w:szCs w:val="22"/>
        </w:rPr>
        <w:t>2</w:t>
      </w:r>
      <w:r w:rsidRPr="00A96B30">
        <w:rPr>
          <w:b/>
          <w:sz w:val="22"/>
          <w:szCs w:val="22"/>
        </w:rPr>
        <w:tab/>
        <w:t>Definitions</w:t>
      </w:r>
    </w:p>
    <w:p w14:paraId="5AF8946D" w14:textId="77777777" w:rsidR="0005212D" w:rsidRPr="00A96B30" w:rsidRDefault="0005212D" w:rsidP="0005212D">
      <w:pPr>
        <w:tabs>
          <w:tab w:val="left" w:pos="720"/>
          <w:tab w:val="left" w:pos="1440"/>
        </w:tabs>
        <w:ind w:left="720" w:hanging="720"/>
        <w:jc w:val="left"/>
        <w:rPr>
          <w:sz w:val="22"/>
          <w:szCs w:val="22"/>
        </w:rPr>
      </w:pPr>
    </w:p>
    <w:p w14:paraId="0D6306EC" w14:textId="1D345E3E" w:rsidR="002460E7" w:rsidRPr="00A96B30" w:rsidRDefault="00ED5FE4" w:rsidP="002460E7">
      <w:pPr>
        <w:tabs>
          <w:tab w:val="left" w:pos="720"/>
          <w:tab w:val="left" w:pos="1440"/>
        </w:tabs>
        <w:ind w:left="720" w:hanging="720"/>
        <w:jc w:val="left"/>
        <w:rPr>
          <w:sz w:val="22"/>
          <w:szCs w:val="22"/>
        </w:rPr>
      </w:pPr>
      <w:r w:rsidRPr="00A96B30">
        <w:rPr>
          <w:sz w:val="22"/>
          <w:szCs w:val="22"/>
        </w:rPr>
        <w:t>2.1</w:t>
      </w:r>
      <w:r w:rsidR="0005212D" w:rsidRPr="00A96B30">
        <w:rPr>
          <w:sz w:val="22"/>
          <w:szCs w:val="22"/>
        </w:rPr>
        <w:tab/>
      </w:r>
      <w:r w:rsidR="00842793" w:rsidRPr="00A96B30">
        <w:rPr>
          <w:sz w:val="22"/>
          <w:szCs w:val="22"/>
        </w:rPr>
        <w:t>‘</w:t>
      </w:r>
      <w:r w:rsidR="002460E7" w:rsidRPr="00A96B30">
        <w:rPr>
          <w:sz w:val="22"/>
          <w:szCs w:val="22"/>
        </w:rPr>
        <w:t>Leasehold Management</w:t>
      </w:r>
      <w:r w:rsidR="00842793" w:rsidRPr="00A96B30">
        <w:rPr>
          <w:sz w:val="22"/>
          <w:szCs w:val="22"/>
        </w:rPr>
        <w:t>’</w:t>
      </w:r>
      <w:r w:rsidR="002460E7" w:rsidRPr="00A96B30">
        <w:rPr>
          <w:sz w:val="22"/>
          <w:szCs w:val="22"/>
        </w:rPr>
        <w:t xml:space="preserve"> refers to Leaseholders that own 100% of their property and where </w:t>
      </w:r>
      <w:r w:rsidR="00E07FF5" w:rsidRPr="00A96B30">
        <w:rPr>
          <w:sz w:val="22"/>
          <w:szCs w:val="22"/>
        </w:rPr>
        <w:t xml:space="preserve">we </w:t>
      </w:r>
      <w:r w:rsidR="002460E7" w:rsidRPr="00A96B30">
        <w:rPr>
          <w:sz w:val="22"/>
          <w:szCs w:val="22"/>
        </w:rPr>
        <w:t xml:space="preserve">own the </w:t>
      </w:r>
      <w:r w:rsidR="008A0E5D" w:rsidRPr="00A96B30">
        <w:rPr>
          <w:sz w:val="22"/>
          <w:szCs w:val="22"/>
        </w:rPr>
        <w:t>f</w:t>
      </w:r>
      <w:r w:rsidR="002460E7" w:rsidRPr="00A96B30">
        <w:rPr>
          <w:sz w:val="22"/>
          <w:szCs w:val="22"/>
        </w:rPr>
        <w:t>reehold.  It also appl</w:t>
      </w:r>
      <w:r w:rsidR="00E07FF5" w:rsidRPr="00A96B30">
        <w:rPr>
          <w:sz w:val="22"/>
          <w:szCs w:val="22"/>
        </w:rPr>
        <w:t>ies</w:t>
      </w:r>
      <w:r w:rsidR="002460E7" w:rsidRPr="00A96B30">
        <w:rPr>
          <w:sz w:val="22"/>
          <w:szCs w:val="22"/>
        </w:rPr>
        <w:t xml:space="preserve"> to shared owners that own either part of their property, regardless of being a flat or house</w:t>
      </w:r>
      <w:r w:rsidR="00DB378A" w:rsidRPr="00A96B30">
        <w:rPr>
          <w:sz w:val="22"/>
          <w:szCs w:val="22"/>
        </w:rPr>
        <w:t>,</w:t>
      </w:r>
      <w:r w:rsidR="002460E7" w:rsidRPr="00A96B30">
        <w:rPr>
          <w:sz w:val="22"/>
          <w:szCs w:val="22"/>
        </w:rPr>
        <w:t xml:space="preserve"> and 100% shared ownership lea</w:t>
      </w:r>
      <w:r w:rsidR="008E69B7" w:rsidRPr="00A96B30">
        <w:rPr>
          <w:sz w:val="22"/>
          <w:szCs w:val="22"/>
        </w:rPr>
        <w:t xml:space="preserve">ses where </w:t>
      </w:r>
      <w:r w:rsidR="00E07FF5" w:rsidRPr="00A96B30">
        <w:rPr>
          <w:sz w:val="22"/>
          <w:szCs w:val="22"/>
        </w:rPr>
        <w:t xml:space="preserve">we </w:t>
      </w:r>
      <w:r w:rsidR="008E69B7" w:rsidRPr="00A96B30">
        <w:rPr>
          <w:sz w:val="22"/>
          <w:szCs w:val="22"/>
        </w:rPr>
        <w:t xml:space="preserve">own the </w:t>
      </w:r>
      <w:r w:rsidR="008A0E5D" w:rsidRPr="00A96B30">
        <w:rPr>
          <w:sz w:val="22"/>
          <w:szCs w:val="22"/>
        </w:rPr>
        <w:t>f</w:t>
      </w:r>
      <w:r w:rsidR="008E69B7" w:rsidRPr="00A96B30">
        <w:rPr>
          <w:sz w:val="22"/>
          <w:szCs w:val="22"/>
        </w:rPr>
        <w:t>reehold.</w:t>
      </w:r>
    </w:p>
    <w:p w14:paraId="3652EB62" w14:textId="77777777" w:rsidR="005964C9" w:rsidRPr="00A96B30" w:rsidRDefault="005964C9" w:rsidP="008F27E4">
      <w:pPr>
        <w:tabs>
          <w:tab w:val="left" w:pos="720"/>
          <w:tab w:val="left" w:pos="1440"/>
        </w:tabs>
        <w:jc w:val="left"/>
        <w:rPr>
          <w:sz w:val="22"/>
          <w:szCs w:val="22"/>
        </w:rPr>
      </w:pPr>
    </w:p>
    <w:p w14:paraId="261CF182" w14:textId="615656B4" w:rsidR="0005212D" w:rsidRPr="00A96B30" w:rsidRDefault="0005212D" w:rsidP="0005212D">
      <w:pPr>
        <w:tabs>
          <w:tab w:val="left" w:pos="720"/>
          <w:tab w:val="left" w:pos="1440"/>
        </w:tabs>
        <w:ind w:left="720" w:hanging="720"/>
        <w:jc w:val="left"/>
        <w:rPr>
          <w:b/>
          <w:sz w:val="22"/>
          <w:szCs w:val="22"/>
        </w:rPr>
      </w:pPr>
      <w:r w:rsidRPr="00A96B30">
        <w:rPr>
          <w:b/>
          <w:sz w:val="22"/>
          <w:szCs w:val="22"/>
        </w:rPr>
        <w:t>3</w:t>
      </w:r>
      <w:r w:rsidRPr="00A96B30">
        <w:rPr>
          <w:b/>
          <w:sz w:val="22"/>
          <w:szCs w:val="22"/>
        </w:rPr>
        <w:tab/>
        <w:t>Aims and Objectives</w:t>
      </w:r>
    </w:p>
    <w:p w14:paraId="3F69D913" w14:textId="77777777" w:rsidR="0005212D" w:rsidRPr="00A96B30" w:rsidRDefault="0005212D" w:rsidP="0005212D">
      <w:pPr>
        <w:tabs>
          <w:tab w:val="left" w:pos="720"/>
          <w:tab w:val="left" w:pos="1440"/>
        </w:tabs>
        <w:ind w:left="720" w:hanging="720"/>
        <w:jc w:val="left"/>
        <w:rPr>
          <w:sz w:val="22"/>
          <w:szCs w:val="22"/>
        </w:rPr>
      </w:pPr>
    </w:p>
    <w:p w14:paraId="5AB9875E" w14:textId="2F7D2286" w:rsidR="004A368A" w:rsidRPr="00A96B30" w:rsidRDefault="00ED5FE4" w:rsidP="0005212D">
      <w:pPr>
        <w:tabs>
          <w:tab w:val="left" w:pos="720"/>
          <w:tab w:val="left" w:pos="1440"/>
        </w:tabs>
        <w:ind w:left="720" w:hanging="720"/>
        <w:jc w:val="left"/>
        <w:rPr>
          <w:sz w:val="22"/>
          <w:szCs w:val="22"/>
        </w:rPr>
      </w:pPr>
      <w:r w:rsidRPr="00A96B30">
        <w:rPr>
          <w:sz w:val="22"/>
          <w:szCs w:val="22"/>
        </w:rPr>
        <w:t>3.1</w:t>
      </w:r>
      <w:r w:rsidR="006A11FB" w:rsidRPr="00A96B30">
        <w:rPr>
          <w:sz w:val="22"/>
          <w:szCs w:val="22"/>
        </w:rPr>
        <w:tab/>
      </w:r>
      <w:r w:rsidR="00AB622F" w:rsidRPr="00A96B30">
        <w:rPr>
          <w:sz w:val="22"/>
          <w:szCs w:val="22"/>
        </w:rPr>
        <w:t xml:space="preserve">We </w:t>
      </w:r>
      <w:r w:rsidR="008E69B7" w:rsidRPr="00A96B30">
        <w:rPr>
          <w:sz w:val="22"/>
          <w:szCs w:val="22"/>
        </w:rPr>
        <w:t>will comply with all relevant legislation and the terms of individual leases</w:t>
      </w:r>
      <w:r w:rsidR="00882596" w:rsidRPr="00A96B30">
        <w:rPr>
          <w:sz w:val="22"/>
          <w:szCs w:val="22"/>
        </w:rPr>
        <w:t xml:space="preserve"> and covenants.</w:t>
      </w:r>
    </w:p>
    <w:p w14:paraId="1A8AF658" w14:textId="77777777" w:rsidR="00ED5FE4" w:rsidRPr="00A96B30" w:rsidRDefault="00ED5FE4" w:rsidP="0005212D">
      <w:pPr>
        <w:tabs>
          <w:tab w:val="left" w:pos="720"/>
          <w:tab w:val="left" w:pos="1440"/>
        </w:tabs>
        <w:ind w:left="720" w:hanging="720"/>
        <w:jc w:val="left"/>
        <w:rPr>
          <w:sz w:val="22"/>
          <w:szCs w:val="22"/>
        </w:rPr>
      </w:pPr>
    </w:p>
    <w:p w14:paraId="60195599" w14:textId="147C13AA" w:rsidR="00834734" w:rsidRPr="00A96B30" w:rsidRDefault="00ED5FE4" w:rsidP="00ED5FE4">
      <w:pPr>
        <w:tabs>
          <w:tab w:val="left" w:pos="720"/>
          <w:tab w:val="left" w:pos="1440"/>
        </w:tabs>
        <w:ind w:left="720" w:hanging="720"/>
        <w:jc w:val="left"/>
        <w:rPr>
          <w:sz w:val="22"/>
          <w:szCs w:val="22"/>
        </w:rPr>
      </w:pPr>
      <w:r w:rsidRPr="00A96B30">
        <w:rPr>
          <w:sz w:val="22"/>
          <w:szCs w:val="22"/>
        </w:rPr>
        <w:t>3.2</w:t>
      </w:r>
      <w:r w:rsidRPr="00A96B30">
        <w:rPr>
          <w:sz w:val="22"/>
          <w:szCs w:val="22"/>
        </w:rPr>
        <w:tab/>
      </w:r>
      <w:r w:rsidR="00AB622F" w:rsidRPr="00A96B30">
        <w:rPr>
          <w:sz w:val="22"/>
          <w:szCs w:val="22"/>
        </w:rPr>
        <w:t xml:space="preserve">We </w:t>
      </w:r>
      <w:r w:rsidR="00834734" w:rsidRPr="00A96B30">
        <w:rPr>
          <w:sz w:val="22"/>
          <w:szCs w:val="22"/>
        </w:rPr>
        <w:t xml:space="preserve">will consult </w:t>
      </w:r>
      <w:r w:rsidR="006819E5" w:rsidRPr="00A96B30">
        <w:rPr>
          <w:sz w:val="22"/>
          <w:szCs w:val="22"/>
        </w:rPr>
        <w:t>leaseholders</w:t>
      </w:r>
      <w:r w:rsidR="00834734" w:rsidRPr="00A96B30">
        <w:rPr>
          <w:sz w:val="22"/>
          <w:szCs w:val="22"/>
        </w:rPr>
        <w:t xml:space="preserve"> about any works and </w:t>
      </w:r>
      <w:r w:rsidR="00966E57" w:rsidRPr="00A96B30">
        <w:rPr>
          <w:sz w:val="22"/>
          <w:szCs w:val="22"/>
        </w:rPr>
        <w:t>long-term</w:t>
      </w:r>
      <w:r w:rsidR="00834734" w:rsidRPr="00A96B30">
        <w:rPr>
          <w:sz w:val="22"/>
          <w:szCs w:val="22"/>
        </w:rPr>
        <w:t xml:space="preserve"> agreements which will incur costs above the prescribed </w:t>
      </w:r>
      <w:r w:rsidR="00966E57" w:rsidRPr="00A96B30">
        <w:rPr>
          <w:sz w:val="22"/>
          <w:szCs w:val="22"/>
        </w:rPr>
        <w:t>amounts,</w:t>
      </w:r>
      <w:r w:rsidR="00834734" w:rsidRPr="00A96B30">
        <w:rPr>
          <w:sz w:val="22"/>
          <w:szCs w:val="22"/>
        </w:rPr>
        <w:t xml:space="preserve"> and which will be recovered in service charges as required by the Landlord and Tenant Act 1985.</w:t>
      </w:r>
    </w:p>
    <w:p w14:paraId="10940A6E" w14:textId="77777777" w:rsidR="008748FD" w:rsidRPr="00A96B30" w:rsidRDefault="008748FD" w:rsidP="00ED5FE4">
      <w:pPr>
        <w:tabs>
          <w:tab w:val="left" w:pos="720"/>
          <w:tab w:val="left" w:pos="1440"/>
        </w:tabs>
        <w:ind w:left="720" w:hanging="720"/>
        <w:jc w:val="left"/>
        <w:rPr>
          <w:sz w:val="22"/>
          <w:szCs w:val="22"/>
        </w:rPr>
      </w:pPr>
    </w:p>
    <w:p w14:paraId="08D8ED27" w14:textId="4DB49B2F" w:rsidR="00E07FF5" w:rsidRPr="00A96B30" w:rsidRDefault="00E07FF5" w:rsidP="00ED5FE4">
      <w:pPr>
        <w:tabs>
          <w:tab w:val="left" w:pos="720"/>
          <w:tab w:val="left" w:pos="1440"/>
        </w:tabs>
        <w:ind w:left="720" w:hanging="720"/>
        <w:jc w:val="left"/>
        <w:rPr>
          <w:sz w:val="22"/>
          <w:szCs w:val="22"/>
        </w:rPr>
      </w:pPr>
      <w:r w:rsidRPr="00A96B30">
        <w:rPr>
          <w:sz w:val="22"/>
          <w:szCs w:val="22"/>
        </w:rPr>
        <w:t>3.3</w:t>
      </w:r>
      <w:r w:rsidRPr="00A96B30">
        <w:rPr>
          <w:sz w:val="22"/>
          <w:szCs w:val="22"/>
        </w:rPr>
        <w:tab/>
        <w:t>To ensure that leaseholders comply with the terms and conditions of their individual leases including the recovery of service and other charges.</w:t>
      </w:r>
    </w:p>
    <w:p w14:paraId="24B23F4E" w14:textId="77777777" w:rsidR="006819E5" w:rsidRPr="00A96B30" w:rsidRDefault="006819E5" w:rsidP="00ED5FE4">
      <w:pPr>
        <w:tabs>
          <w:tab w:val="left" w:pos="720"/>
          <w:tab w:val="left" w:pos="1440"/>
        </w:tabs>
        <w:ind w:left="720" w:hanging="720"/>
        <w:jc w:val="left"/>
        <w:rPr>
          <w:sz w:val="22"/>
          <w:szCs w:val="22"/>
        </w:rPr>
      </w:pPr>
    </w:p>
    <w:p w14:paraId="562E38E6" w14:textId="1A60D556" w:rsidR="006819E5" w:rsidRPr="00A96B30" w:rsidRDefault="006819E5" w:rsidP="00ED5FE4">
      <w:pPr>
        <w:tabs>
          <w:tab w:val="left" w:pos="720"/>
          <w:tab w:val="left" w:pos="1440"/>
        </w:tabs>
        <w:ind w:left="720" w:hanging="720"/>
        <w:jc w:val="left"/>
        <w:rPr>
          <w:sz w:val="22"/>
          <w:szCs w:val="22"/>
        </w:rPr>
      </w:pPr>
      <w:r w:rsidRPr="00A96B30">
        <w:rPr>
          <w:sz w:val="22"/>
          <w:szCs w:val="22"/>
        </w:rPr>
        <w:t>3.4</w:t>
      </w:r>
      <w:r w:rsidRPr="00A96B30">
        <w:rPr>
          <w:sz w:val="22"/>
          <w:szCs w:val="22"/>
        </w:rPr>
        <w:tab/>
        <w:t>To deliver value for money services.</w:t>
      </w:r>
    </w:p>
    <w:p w14:paraId="0FE500A3" w14:textId="5F563020" w:rsidR="008748FD" w:rsidRPr="00A96B30" w:rsidRDefault="008748FD" w:rsidP="00ED5FE4">
      <w:pPr>
        <w:tabs>
          <w:tab w:val="left" w:pos="720"/>
          <w:tab w:val="left" w:pos="1440"/>
        </w:tabs>
        <w:ind w:left="720" w:hanging="720"/>
        <w:jc w:val="left"/>
        <w:rPr>
          <w:sz w:val="22"/>
          <w:szCs w:val="22"/>
        </w:rPr>
      </w:pPr>
    </w:p>
    <w:p w14:paraId="08811D56" w14:textId="6E805A2C" w:rsidR="008748FD" w:rsidRPr="00A96B30" w:rsidRDefault="008748FD" w:rsidP="00ED5FE4">
      <w:pPr>
        <w:tabs>
          <w:tab w:val="left" w:pos="720"/>
          <w:tab w:val="left" w:pos="1440"/>
        </w:tabs>
        <w:ind w:left="720" w:hanging="720"/>
        <w:jc w:val="left"/>
        <w:rPr>
          <w:sz w:val="22"/>
          <w:szCs w:val="22"/>
        </w:rPr>
      </w:pPr>
      <w:r w:rsidRPr="00A96B30">
        <w:rPr>
          <w:sz w:val="22"/>
          <w:szCs w:val="22"/>
        </w:rPr>
        <w:t>3.5</w:t>
      </w:r>
      <w:r w:rsidRPr="00A96B30">
        <w:rPr>
          <w:sz w:val="22"/>
          <w:szCs w:val="22"/>
        </w:rPr>
        <w:tab/>
        <w:t xml:space="preserve">To provide a </w:t>
      </w:r>
      <w:r w:rsidR="00AB622F" w:rsidRPr="00A96B30">
        <w:rPr>
          <w:sz w:val="22"/>
          <w:szCs w:val="22"/>
        </w:rPr>
        <w:t>high-quality</w:t>
      </w:r>
      <w:r w:rsidRPr="00A96B30">
        <w:rPr>
          <w:sz w:val="22"/>
          <w:szCs w:val="22"/>
        </w:rPr>
        <w:t xml:space="preserve"> service to our leaseholder customers</w:t>
      </w:r>
      <w:r w:rsidR="009F2F82" w:rsidRPr="00A96B30">
        <w:rPr>
          <w:sz w:val="22"/>
          <w:szCs w:val="22"/>
        </w:rPr>
        <w:t>.</w:t>
      </w:r>
    </w:p>
    <w:p w14:paraId="4D102CBD" w14:textId="00913817" w:rsidR="009F2F82" w:rsidRPr="00A96B30" w:rsidRDefault="009F2F82" w:rsidP="00ED5FE4">
      <w:pPr>
        <w:tabs>
          <w:tab w:val="left" w:pos="720"/>
          <w:tab w:val="left" w:pos="1440"/>
        </w:tabs>
        <w:ind w:left="720" w:hanging="720"/>
        <w:jc w:val="left"/>
        <w:rPr>
          <w:sz w:val="22"/>
          <w:szCs w:val="22"/>
        </w:rPr>
      </w:pPr>
    </w:p>
    <w:p w14:paraId="5E216D45" w14:textId="23EF0A52" w:rsidR="009F2F82" w:rsidRPr="00A96B30" w:rsidRDefault="009F2F82" w:rsidP="00ED5FE4">
      <w:pPr>
        <w:tabs>
          <w:tab w:val="left" w:pos="720"/>
          <w:tab w:val="left" w:pos="1440"/>
        </w:tabs>
        <w:ind w:left="720" w:hanging="720"/>
        <w:jc w:val="left"/>
        <w:rPr>
          <w:sz w:val="22"/>
          <w:szCs w:val="22"/>
        </w:rPr>
      </w:pPr>
      <w:r w:rsidRPr="00A96B30">
        <w:rPr>
          <w:sz w:val="22"/>
          <w:szCs w:val="22"/>
        </w:rPr>
        <w:t xml:space="preserve">3.6 </w:t>
      </w:r>
      <w:r w:rsidRPr="00A96B30">
        <w:rPr>
          <w:sz w:val="22"/>
          <w:szCs w:val="22"/>
        </w:rPr>
        <w:tab/>
      </w:r>
      <w:r w:rsidR="00A53C8D" w:rsidRPr="00A96B30">
        <w:rPr>
          <w:sz w:val="22"/>
          <w:szCs w:val="22"/>
        </w:rPr>
        <w:t>In addition to the statutory requirement to consult we will provide resident leaseholders with the same opportunities to get involved as those offered to other customers. We will encourage and support the involvement of all leaseholders in decisions that affect the services we deliver on our estates and the services we provide specifically to leaseholders.</w:t>
      </w:r>
    </w:p>
    <w:p w14:paraId="5D055DF8" w14:textId="77777777" w:rsidR="005964C9" w:rsidRPr="00A96B30" w:rsidRDefault="005964C9" w:rsidP="008F27E4">
      <w:pPr>
        <w:tabs>
          <w:tab w:val="left" w:pos="720"/>
          <w:tab w:val="left" w:pos="1440"/>
        </w:tabs>
        <w:jc w:val="left"/>
        <w:rPr>
          <w:sz w:val="22"/>
          <w:szCs w:val="22"/>
        </w:rPr>
      </w:pPr>
    </w:p>
    <w:p w14:paraId="31F2D95F" w14:textId="15F6479B" w:rsidR="0005212D" w:rsidRPr="00A96B30" w:rsidRDefault="0005212D" w:rsidP="0005212D">
      <w:pPr>
        <w:tabs>
          <w:tab w:val="left" w:pos="720"/>
          <w:tab w:val="left" w:pos="1440"/>
        </w:tabs>
        <w:ind w:left="720" w:hanging="720"/>
        <w:jc w:val="left"/>
        <w:rPr>
          <w:b/>
          <w:sz w:val="22"/>
          <w:szCs w:val="22"/>
        </w:rPr>
      </w:pPr>
      <w:r w:rsidRPr="00A96B30">
        <w:rPr>
          <w:b/>
          <w:sz w:val="22"/>
          <w:szCs w:val="22"/>
        </w:rPr>
        <w:t>4</w:t>
      </w:r>
      <w:r w:rsidRPr="00A96B30">
        <w:rPr>
          <w:b/>
          <w:sz w:val="22"/>
          <w:szCs w:val="22"/>
        </w:rPr>
        <w:tab/>
        <w:t xml:space="preserve">Policy Statement </w:t>
      </w:r>
    </w:p>
    <w:p w14:paraId="4C89E907" w14:textId="77777777" w:rsidR="00C93B66" w:rsidRPr="00A96B30" w:rsidRDefault="00C93B66" w:rsidP="0005212D">
      <w:pPr>
        <w:tabs>
          <w:tab w:val="left" w:pos="720"/>
          <w:tab w:val="left" w:pos="1440"/>
        </w:tabs>
        <w:ind w:left="720" w:hanging="720"/>
        <w:jc w:val="left"/>
        <w:rPr>
          <w:b/>
          <w:sz w:val="22"/>
          <w:szCs w:val="22"/>
        </w:rPr>
      </w:pPr>
    </w:p>
    <w:p w14:paraId="61BD9160" w14:textId="26C6A452" w:rsidR="00BA332C" w:rsidRPr="00A96B30" w:rsidRDefault="00ED5FE4" w:rsidP="00D17794">
      <w:pPr>
        <w:tabs>
          <w:tab w:val="left" w:pos="720"/>
          <w:tab w:val="left" w:pos="1440"/>
        </w:tabs>
        <w:ind w:left="720" w:hanging="720"/>
        <w:jc w:val="left"/>
        <w:rPr>
          <w:sz w:val="22"/>
          <w:szCs w:val="22"/>
        </w:rPr>
      </w:pPr>
      <w:r w:rsidRPr="00A96B30">
        <w:rPr>
          <w:sz w:val="22"/>
          <w:szCs w:val="22"/>
        </w:rPr>
        <w:t>4.1</w:t>
      </w:r>
      <w:r w:rsidR="00C93B66" w:rsidRPr="00A96B30">
        <w:rPr>
          <w:sz w:val="22"/>
          <w:szCs w:val="22"/>
        </w:rPr>
        <w:tab/>
      </w:r>
      <w:r w:rsidR="006819E5" w:rsidRPr="00A96B30">
        <w:rPr>
          <w:sz w:val="22"/>
          <w:szCs w:val="22"/>
        </w:rPr>
        <w:t xml:space="preserve">We </w:t>
      </w:r>
      <w:r w:rsidR="00834734" w:rsidRPr="00A96B30">
        <w:rPr>
          <w:sz w:val="22"/>
          <w:szCs w:val="22"/>
        </w:rPr>
        <w:t xml:space="preserve">will set </w:t>
      </w:r>
      <w:r w:rsidR="00DB378A" w:rsidRPr="00A96B30">
        <w:rPr>
          <w:sz w:val="22"/>
          <w:szCs w:val="22"/>
        </w:rPr>
        <w:t>g</w:t>
      </w:r>
      <w:r w:rsidR="00834734" w:rsidRPr="00A96B30">
        <w:rPr>
          <w:sz w:val="22"/>
          <w:szCs w:val="22"/>
        </w:rPr>
        <w:t xml:space="preserve">round rent charges and service charges </w:t>
      </w:r>
      <w:r w:rsidR="00D17794" w:rsidRPr="00A96B30">
        <w:rPr>
          <w:sz w:val="22"/>
          <w:szCs w:val="22"/>
        </w:rPr>
        <w:t>to full</w:t>
      </w:r>
      <w:r w:rsidR="00DB378A" w:rsidRPr="00A96B30">
        <w:rPr>
          <w:sz w:val="22"/>
          <w:szCs w:val="22"/>
        </w:rPr>
        <w:t>y</w:t>
      </w:r>
      <w:r w:rsidR="00D17794" w:rsidRPr="00A96B30">
        <w:rPr>
          <w:sz w:val="22"/>
          <w:szCs w:val="22"/>
        </w:rPr>
        <w:t xml:space="preserve"> recover costs incurred to provide the relevant services.  This will include a management charge.</w:t>
      </w:r>
    </w:p>
    <w:p w14:paraId="407EF5ED" w14:textId="77777777" w:rsidR="00BA332C" w:rsidRPr="00A96B30" w:rsidRDefault="00D17794" w:rsidP="00C93B66">
      <w:pPr>
        <w:tabs>
          <w:tab w:val="left" w:pos="720"/>
          <w:tab w:val="left" w:pos="1440"/>
        </w:tabs>
        <w:ind w:left="720" w:hanging="720"/>
        <w:jc w:val="left"/>
        <w:rPr>
          <w:sz w:val="22"/>
          <w:szCs w:val="22"/>
        </w:rPr>
      </w:pPr>
      <w:r w:rsidRPr="00A96B30">
        <w:rPr>
          <w:sz w:val="22"/>
          <w:szCs w:val="22"/>
        </w:rPr>
        <w:tab/>
      </w:r>
    </w:p>
    <w:p w14:paraId="61AD6E12" w14:textId="1ED1FA39" w:rsidR="00D17794" w:rsidRPr="00A96B30" w:rsidRDefault="00ED5FE4" w:rsidP="00C93B66">
      <w:pPr>
        <w:tabs>
          <w:tab w:val="left" w:pos="720"/>
          <w:tab w:val="left" w:pos="1440"/>
        </w:tabs>
        <w:ind w:left="720" w:hanging="720"/>
        <w:jc w:val="left"/>
        <w:rPr>
          <w:sz w:val="22"/>
          <w:szCs w:val="22"/>
        </w:rPr>
      </w:pPr>
      <w:r w:rsidRPr="00A96B30">
        <w:rPr>
          <w:sz w:val="22"/>
          <w:szCs w:val="22"/>
        </w:rPr>
        <w:t>4.2</w:t>
      </w:r>
      <w:r w:rsidR="00D17794" w:rsidRPr="00A96B30">
        <w:rPr>
          <w:sz w:val="22"/>
          <w:szCs w:val="22"/>
        </w:rPr>
        <w:tab/>
      </w:r>
      <w:r w:rsidR="006819E5" w:rsidRPr="00A96B30">
        <w:rPr>
          <w:sz w:val="22"/>
          <w:szCs w:val="22"/>
        </w:rPr>
        <w:t xml:space="preserve">We </w:t>
      </w:r>
      <w:r w:rsidR="00D17794" w:rsidRPr="00A96B30">
        <w:rPr>
          <w:sz w:val="22"/>
          <w:szCs w:val="22"/>
        </w:rPr>
        <w:t xml:space="preserve">will review the lease </w:t>
      </w:r>
      <w:r w:rsidR="006819E5" w:rsidRPr="00A96B30">
        <w:rPr>
          <w:sz w:val="22"/>
          <w:szCs w:val="22"/>
        </w:rPr>
        <w:t>we use</w:t>
      </w:r>
      <w:r w:rsidR="00D17794" w:rsidRPr="00A96B30">
        <w:rPr>
          <w:sz w:val="22"/>
          <w:szCs w:val="22"/>
        </w:rPr>
        <w:t xml:space="preserve"> regularly to ensure that it complies with current law and good practice.</w:t>
      </w:r>
    </w:p>
    <w:p w14:paraId="556494BC" w14:textId="77777777" w:rsidR="00FE0688" w:rsidRPr="00A96B30" w:rsidRDefault="00FE0688" w:rsidP="00C93B66">
      <w:pPr>
        <w:tabs>
          <w:tab w:val="left" w:pos="720"/>
          <w:tab w:val="left" w:pos="1440"/>
        </w:tabs>
        <w:ind w:left="720" w:hanging="720"/>
        <w:jc w:val="left"/>
        <w:rPr>
          <w:sz w:val="22"/>
          <w:szCs w:val="22"/>
        </w:rPr>
      </w:pPr>
    </w:p>
    <w:p w14:paraId="0EAAD53B" w14:textId="78792948" w:rsidR="00BA7D46" w:rsidRPr="00A96B30" w:rsidRDefault="00ED5FE4" w:rsidP="005975D4">
      <w:pPr>
        <w:tabs>
          <w:tab w:val="left" w:pos="720"/>
          <w:tab w:val="left" w:pos="1440"/>
        </w:tabs>
        <w:ind w:left="720" w:hanging="720"/>
        <w:jc w:val="left"/>
        <w:rPr>
          <w:sz w:val="22"/>
          <w:szCs w:val="22"/>
        </w:rPr>
      </w:pPr>
      <w:r w:rsidRPr="00A96B30">
        <w:rPr>
          <w:sz w:val="22"/>
          <w:szCs w:val="22"/>
        </w:rPr>
        <w:t>4.3</w:t>
      </w:r>
      <w:r w:rsidR="00BA7D46" w:rsidRPr="00A96B30">
        <w:rPr>
          <w:sz w:val="22"/>
          <w:szCs w:val="22"/>
        </w:rPr>
        <w:tab/>
      </w:r>
      <w:r w:rsidR="006819E5" w:rsidRPr="00A96B30">
        <w:rPr>
          <w:sz w:val="22"/>
          <w:szCs w:val="22"/>
        </w:rPr>
        <w:t xml:space="preserve">We </w:t>
      </w:r>
      <w:r w:rsidR="00BA7D46" w:rsidRPr="00A96B30">
        <w:rPr>
          <w:sz w:val="22"/>
          <w:szCs w:val="22"/>
        </w:rPr>
        <w:t xml:space="preserve">will </w:t>
      </w:r>
      <w:r w:rsidR="00FE0688" w:rsidRPr="00A96B30">
        <w:rPr>
          <w:sz w:val="22"/>
          <w:szCs w:val="22"/>
        </w:rPr>
        <w:t xml:space="preserve">take appropriate action where a leaseholder is acting in breach of </w:t>
      </w:r>
      <w:r w:rsidR="00BA7D46" w:rsidRPr="00A96B30">
        <w:rPr>
          <w:sz w:val="22"/>
          <w:szCs w:val="22"/>
        </w:rPr>
        <w:t>the terms of their lease.</w:t>
      </w:r>
    </w:p>
    <w:p w14:paraId="4AC2DF3F" w14:textId="77777777" w:rsidR="005975D4" w:rsidRPr="00A96B30" w:rsidRDefault="005975D4" w:rsidP="005975D4">
      <w:pPr>
        <w:tabs>
          <w:tab w:val="left" w:pos="720"/>
          <w:tab w:val="left" w:pos="1440"/>
        </w:tabs>
        <w:ind w:left="720" w:hanging="720"/>
        <w:jc w:val="left"/>
        <w:rPr>
          <w:sz w:val="22"/>
          <w:szCs w:val="22"/>
        </w:rPr>
      </w:pPr>
    </w:p>
    <w:p w14:paraId="30FB512C" w14:textId="5B31A16C" w:rsidR="005975D4" w:rsidRPr="00A96B30" w:rsidRDefault="005975D4" w:rsidP="005975D4">
      <w:pPr>
        <w:tabs>
          <w:tab w:val="left" w:pos="720"/>
          <w:tab w:val="left" w:pos="1440"/>
        </w:tabs>
        <w:ind w:left="720" w:hanging="720"/>
        <w:jc w:val="left"/>
        <w:rPr>
          <w:sz w:val="22"/>
          <w:szCs w:val="22"/>
        </w:rPr>
      </w:pPr>
      <w:r w:rsidRPr="00A96B30">
        <w:rPr>
          <w:sz w:val="22"/>
          <w:szCs w:val="22"/>
        </w:rPr>
        <w:t>4.4</w:t>
      </w:r>
      <w:r w:rsidRPr="00A96B30">
        <w:rPr>
          <w:sz w:val="22"/>
          <w:szCs w:val="22"/>
        </w:rPr>
        <w:tab/>
      </w:r>
      <w:r w:rsidR="006819E5" w:rsidRPr="00A96B30">
        <w:rPr>
          <w:sz w:val="22"/>
          <w:szCs w:val="22"/>
        </w:rPr>
        <w:t xml:space="preserve">We </w:t>
      </w:r>
      <w:r w:rsidRPr="00A96B30">
        <w:rPr>
          <w:sz w:val="22"/>
          <w:szCs w:val="22"/>
        </w:rPr>
        <w:t xml:space="preserve">will </w:t>
      </w:r>
      <w:proofErr w:type="gramStart"/>
      <w:r w:rsidRPr="00A96B30">
        <w:rPr>
          <w:sz w:val="22"/>
          <w:szCs w:val="22"/>
        </w:rPr>
        <w:t>insure</w:t>
      </w:r>
      <w:proofErr w:type="gramEnd"/>
      <w:r w:rsidRPr="00A96B30">
        <w:rPr>
          <w:sz w:val="22"/>
          <w:szCs w:val="22"/>
        </w:rPr>
        <w:t xml:space="preserve"> the structure of the building in which individual leasehold or shared ownership properties are located. The homeowner will bear the cost of the premium through the service charge.</w:t>
      </w:r>
      <w:r w:rsidRPr="00A96B30">
        <w:rPr>
          <w:sz w:val="22"/>
          <w:szCs w:val="22"/>
        </w:rPr>
        <w:tab/>
      </w:r>
    </w:p>
    <w:p w14:paraId="122CF700" w14:textId="6E3CDEFC" w:rsidR="006819E5" w:rsidRDefault="006819E5" w:rsidP="005975D4">
      <w:pPr>
        <w:tabs>
          <w:tab w:val="left" w:pos="720"/>
          <w:tab w:val="left" w:pos="1440"/>
        </w:tabs>
        <w:ind w:left="720" w:hanging="720"/>
        <w:jc w:val="left"/>
        <w:rPr>
          <w:sz w:val="22"/>
          <w:szCs w:val="22"/>
        </w:rPr>
      </w:pPr>
    </w:p>
    <w:p w14:paraId="56D14117" w14:textId="7D1028A4" w:rsidR="00966E57" w:rsidRPr="00A96B30" w:rsidRDefault="006819E5" w:rsidP="005975D4">
      <w:pPr>
        <w:tabs>
          <w:tab w:val="left" w:pos="720"/>
          <w:tab w:val="left" w:pos="1440"/>
        </w:tabs>
        <w:ind w:left="720" w:hanging="720"/>
        <w:jc w:val="left"/>
        <w:rPr>
          <w:sz w:val="22"/>
          <w:szCs w:val="22"/>
        </w:rPr>
      </w:pPr>
      <w:r w:rsidRPr="00A96B30">
        <w:rPr>
          <w:sz w:val="22"/>
          <w:szCs w:val="22"/>
        </w:rPr>
        <w:t>4.5</w:t>
      </w:r>
      <w:r w:rsidRPr="00A96B30">
        <w:rPr>
          <w:sz w:val="22"/>
          <w:szCs w:val="22"/>
        </w:rPr>
        <w:tab/>
        <w:t>We will follow the Section 20 consultation requirements (as set out in the Commonhold and Leasehold Reform Act 2002 S151)</w:t>
      </w:r>
      <w:r w:rsidR="00966E57" w:rsidRPr="00A96B30">
        <w:rPr>
          <w:sz w:val="22"/>
          <w:szCs w:val="22"/>
        </w:rPr>
        <w:t xml:space="preserve"> as follows:</w:t>
      </w:r>
    </w:p>
    <w:p w14:paraId="6FAD810E" w14:textId="77777777" w:rsidR="00A96B30" w:rsidRPr="00A96B30" w:rsidRDefault="00A96B30" w:rsidP="005975D4">
      <w:pPr>
        <w:tabs>
          <w:tab w:val="left" w:pos="720"/>
          <w:tab w:val="left" w:pos="1440"/>
        </w:tabs>
        <w:ind w:left="720" w:hanging="720"/>
        <w:jc w:val="left"/>
        <w:rPr>
          <w:sz w:val="22"/>
          <w:szCs w:val="22"/>
        </w:rPr>
      </w:pPr>
    </w:p>
    <w:p w14:paraId="4C4C675F" w14:textId="77777777" w:rsidR="00A96B30" w:rsidRDefault="00966E57" w:rsidP="00A96B30">
      <w:pPr>
        <w:pStyle w:val="ListParagraph"/>
        <w:numPr>
          <w:ilvl w:val="0"/>
          <w:numId w:val="38"/>
        </w:numPr>
        <w:tabs>
          <w:tab w:val="left" w:pos="1134"/>
        </w:tabs>
        <w:ind w:left="1134" w:hanging="425"/>
        <w:jc w:val="left"/>
        <w:rPr>
          <w:sz w:val="22"/>
          <w:szCs w:val="22"/>
        </w:rPr>
      </w:pPr>
      <w:r w:rsidRPr="00A96B30">
        <w:rPr>
          <w:sz w:val="22"/>
          <w:szCs w:val="22"/>
        </w:rPr>
        <w:t>If we need to carry out work which will cost any one leaseholder more than</w:t>
      </w:r>
    </w:p>
    <w:p w14:paraId="049ED1AA" w14:textId="4A49DF8C" w:rsidR="00966E57" w:rsidRDefault="00966E57" w:rsidP="00A96B30">
      <w:pPr>
        <w:pStyle w:val="ListParagraph"/>
        <w:tabs>
          <w:tab w:val="left" w:pos="1134"/>
        </w:tabs>
        <w:ind w:left="1134"/>
        <w:jc w:val="left"/>
        <w:rPr>
          <w:sz w:val="22"/>
          <w:szCs w:val="22"/>
        </w:rPr>
      </w:pPr>
      <w:r w:rsidRPr="00A96B30">
        <w:rPr>
          <w:sz w:val="22"/>
          <w:szCs w:val="22"/>
        </w:rPr>
        <w:lastRenderedPageBreak/>
        <w:t>£250. This includes repairs, maintenance and improvements to your building and estate.</w:t>
      </w:r>
    </w:p>
    <w:p w14:paraId="0F11CCD6" w14:textId="77777777" w:rsidR="00A96B30" w:rsidRPr="00A96B30" w:rsidRDefault="00A96B30" w:rsidP="00A96B30">
      <w:pPr>
        <w:pStyle w:val="ListParagraph"/>
        <w:tabs>
          <w:tab w:val="left" w:pos="1134"/>
        </w:tabs>
        <w:ind w:left="1134"/>
        <w:jc w:val="left"/>
        <w:rPr>
          <w:sz w:val="22"/>
          <w:szCs w:val="22"/>
        </w:rPr>
      </w:pPr>
    </w:p>
    <w:p w14:paraId="1F5B6ED7" w14:textId="38EBF274" w:rsidR="00966E57" w:rsidRDefault="00966E57" w:rsidP="00A96B30">
      <w:pPr>
        <w:pStyle w:val="ListParagraph"/>
        <w:numPr>
          <w:ilvl w:val="0"/>
          <w:numId w:val="38"/>
        </w:numPr>
        <w:tabs>
          <w:tab w:val="left" w:pos="1134"/>
        </w:tabs>
        <w:ind w:left="1134" w:hanging="425"/>
        <w:jc w:val="left"/>
        <w:rPr>
          <w:sz w:val="22"/>
          <w:szCs w:val="22"/>
        </w:rPr>
      </w:pPr>
      <w:r w:rsidRPr="00A96B30">
        <w:rPr>
          <w:sz w:val="22"/>
          <w:szCs w:val="22"/>
        </w:rPr>
        <w:t>Enter into a long-term agreement (for more than 12 months) with outside contractors for work, supplies or services which will cost any one leaseholder more than £100 a year. Examples include cleaning, grounds maintenance and surveying.</w:t>
      </w:r>
    </w:p>
    <w:p w14:paraId="4EC11545" w14:textId="77777777" w:rsidR="00A96B30" w:rsidRPr="00A96B30" w:rsidRDefault="00A96B30" w:rsidP="00A96B30">
      <w:pPr>
        <w:pStyle w:val="ListParagraph"/>
        <w:tabs>
          <w:tab w:val="left" w:pos="1134"/>
        </w:tabs>
        <w:ind w:left="1134"/>
        <w:jc w:val="left"/>
        <w:rPr>
          <w:sz w:val="22"/>
          <w:szCs w:val="22"/>
        </w:rPr>
      </w:pPr>
    </w:p>
    <w:p w14:paraId="0176946E" w14:textId="054FA1DC" w:rsidR="00966E57" w:rsidRPr="00A96B30" w:rsidRDefault="00966E57" w:rsidP="00A96B30">
      <w:pPr>
        <w:pStyle w:val="ListParagraph"/>
        <w:numPr>
          <w:ilvl w:val="0"/>
          <w:numId w:val="38"/>
        </w:numPr>
        <w:tabs>
          <w:tab w:val="left" w:pos="1134"/>
        </w:tabs>
        <w:ind w:left="1134" w:hanging="425"/>
        <w:jc w:val="left"/>
        <w:rPr>
          <w:sz w:val="22"/>
          <w:szCs w:val="22"/>
        </w:rPr>
      </w:pPr>
      <w:r w:rsidRPr="00A96B30">
        <w:rPr>
          <w:sz w:val="22"/>
          <w:szCs w:val="22"/>
        </w:rPr>
        <w:t>Carry out work under a long-term agreement where the work will cost any one leaseholder more than £250.</w:t>
      </w:r>
    </w:p>
    <w:p w14:paraId="35A83B5F" w14:textId="51DDAABF" w:rsidR="006819E5" w:rsidRPr="00A96B30" w:rsidRDefault="006819E5" w:rsidP="00966E57">
      <w:pPr>
        <w:tabs>
          <w:tab w:val="left" w:pos="720"/>
          <w:tab w:val="left" w:pos="1440"/>
        </w:tabs>
        <w:jc w:val="left"/>
        <w:rPr>
          <w:sz w:val="22"/>
          <w:szCs w:val="22"/>
        </w:rPr>
      </w:pPr>
    </w:p>
    <w:p w14:paraId="3FEC4C29" w14:textId="6059DCB2" w:rsidR="006819E5" w:rsidRPr="00A96B30" w:rsidRDefault="006819E5" w:rsidP="005975D4">
      <w:pPr>
        <w:tabs>
          <w:tab w:val="left" w:pos="720"/>
          <w:tab w:val="left" w:pos="1440"/>
        </w:tabs>
        <w:ind w:left="720" w:hanging="720"/>
        <w:jc w:val="left"/>
        <w:rPr>
          <w:b/>
          <w:bCs/>
          <w:sz w:val="22"/>
          <w:szCs w:val="22"/>
        </w:rPr>
      </w:pPr>
      <w:r w:rsidRPr="00A96B30">
        <w:rPr>
          <w:b/>
          <w:bCs/>
          <w:sz w:val="22"/>
          <w:szCs w:val="22"/>
        </w:rPr>
        <w:t>5</w:t>
      </w:r>
      <w:r w:rsidRPr="00A96B30">
        <w:rPr>
          <w:b/>
          <w:bCs/>
          <w:sz w:val="22"/>
          <w:szCs w:val="22"/>
        </w:rPr>
        <w:tab/>
        <w:t>Service Charges</w:t>
      </w:r>
    </w:p>
    <w:p w14:paraId="4428624E" w14:textId="5C503110" w:rsidR="006819E5" w:rsidRPr="00A96B30" w:rsidRDefault="006819E5" w:rsidP="005975D4">
      <w:pPr>
        <w:tabs>
          <w:tab w:val="left" w:pos="720"/>
          <w:tab w:val="left" w:pos="1440"/>
        </w:tabs>
        <w:ind w:left="720" w:hanging="720"/>
        <w:jc w:val="left"/>
        <w:rPr>
          <w:sz w:val="22"/>
          <w:szCs w:val="22"/>
        </w:rPr>
      </w:pPr>
    </w:p>
    <w:p w14:paraId="3C0BF3BA" w14:textId="712BCFCE" w:rsidR="006819E5" w:rsidRPr="00A96B30" w:rsidRDefault="006819E5" w:rsidP="005975D4">
      <w:pPr>
        <w:tabs>
          <w:tab w:val="left" w:pos="720"/>
          <w:tab w:val="left" w:pos="1440"/>
        </w:tabs>
        <w:ind w:left="720" w:hanging="720"/>
        <w:jc w:val="left"/>
        <w:rPr>
          <w:sz w:val="22"/>
          <w:szCs w:val="22"/>
        </w:rPr>
      </w:pPr>
      <w:r w:rsidRPr="00A96B30">
        <w:rPr>
          <w:sz w:val="22"/>
          <w:szCs w:val="22"/>
        </w:rPr>
        <w:t>5.1</w:t>
      </w:r>
      <w:r w:rsidRPr="00A96B30">
        <w:rPr>
          <w:sz w:val="22"/>
          <w:szCs w:val="22"/>
        </w:rPr>
        <w:tab/>
        <w:t xml:space="preserve">We will produce timely and accurate service charge </w:t>
      </w:r>
      <w:r w:rsidR="00966E57" w:rsidRPr="00A96B30">
        <w:rPr>
          <w:sz w:val="22"/>
          <w:szCs w:val="22"/>
        </w:rPr>
        <w:t>estimates</w:t>
      </w:r>
      <w:r w:rsidRPr="00A96B30">
        <w:rPr>
          <w:sz w:val="22"/>
          <w:szCs w:val="22"/>
        </w:rPr>
        <w:t xml:space="preserve"> including a breakdown of the relevant costs. </w:t>
      </w:r>
      <w:r w:rsidR="008748FD" w:rsidRPr="00A96B30">
        <w:rPr>
          <w:sz w:val="22"/>
          <w:szCs w:val="22"/>
        </w:rPr>
        <w:t>These will be in writing and give one month’s notice.</w:t>
      </w:r>
    </w:p>
    <w:p w14:paraId="481E19B7" w14:textId="65FE2F23" w:rsidR="006819E5" w:rsidRPr="00A96B30" w:rsidRDefault="006819E5" w:rsidP="006819E5">
      <w:pPr>
        <w:tabs>
          <w:tab w:val="left" w:pos="720"/>
          <w:tab w:val="left" w:pos="1440"/>
        </w:tabs>
        <w:jc w:val="left"/>
        <w:rPr>
          <w:sz w:val="22"/>
          <w:szCs w:val="22"/>
        </w:rPr>
      </w:pPr>
    </w:p>
    <w:p w14:paraId="63634122" w14:textId="1A0A863A" w:rsidR="008748FD" w:rsidRPr="00A96B30" w:rsidRDefault="008748FD" w:rsidP="008748FD">
      <w:pPr>
        <w:tabs>
          <w:tab w:val="left" w:pos="720"/>
          <w:tab w:val="left" w:pos="1440"/>
        </w:tabs>
        <w:ind w:left="720" w:hanging="720"/>
        <w:jc w:val="left"/>
        <w:rPr>
          <w:sz w:val="22"/>
          <w:szCs w:val="22"/>
        </w:rPr>
      </w:pPr>
      <w:r w:rsidRPr="00A96B30">
        <w:rPr>
          <w:sz w:val="22"/>
          <w:szCs w:val="22"/>
        </w:rPr>
        <w:t>5.2</w:t>
      </w:r>
      <w:r w:rsidRPr="00A96B30">
        <w:rPr>
          <w:sz w:val="22"/>
          <w:szCs w:val="22"/>
        </w:rPr>
        <w:tab/>
        <w:t xml:space="preserve">Annual service charge statements will be sent to all </w:t>
      </w:r>
      <w:r w:rsidR="00DE3C2B" w:rsidRPr="00A96B30">
        <w:rPr>
          <w:sz w:val="22"/>
          <w:szCs w:val="22"/>
        </w:rPr>
        <w:t>leaseholders</w:t>
      </w:r>
      <w:r w:rsidRPr="00A96B30">
        <w:rPr>
          <w:sz w:val="22"/>
          <w:szCs w:val="22"/>
        </w:rPr>
        <w:t xml:space="preserve"> within six months of the end of the accounting period, together with an accountant’s signature and a summary of the rights and obligations in relation to the service charge.</w:t>
      </w:r>
    </w:p>
    <w:p w14:paraId="10465D78" w14:textId="77777777" w:rsidR="008748FD" w:rsidRPr="00A96B30" w:rsidRDefault="008748FD" w:rsidP="006168A0">
      <w:pPr>
        <w:tabs>
          <w:tab w:val="left" w:pos="720"/>
          <w:tab w:val="left" w:pos="1440"/>
        </w:tabs>
        <w:ind w:left="720" w:hanging="720"/>
        <w:jc w:val="left"/>
        <w:rPr>
          <w:sz w:val="22"/>
          <w:szCs w:val="22"/>
        </w:rPr>
      </w:pPr>
    </w:p>
    <w:p w14:paraId="0B770DC7" w14:textId="5E76A97D" w:rsidR="006819E5" w:rsidRPr="00A96B30" w:rsidRDefault="006819E5" w:rsidP="006819E5">
      <w:pPr>
        <w:tabs>
          <w:tab w:val="left" w:pos="720"/>
          <w:tab w:val="left" w:pos="1440"/>
        </w:tabs>
        <w:ind w:left="720" w:hanging="720"/>
        <w:jc w:val="left"/>
        <w:rPr>
          <w:sz w:val="22"/>
          <w:szCs w:val="22"/>
        </w:rPr>
      </w:pPr>
      <w:r w:rsidRPr="00A96B30">
        <w:rPr>
          <w:sz w:val="22"/>
          <w:szCs w:val="22"/>
        </w:rPr>
        <w:t>5.</w:t>
      </w:r>
      <w:r w:rsidR="008748FD" w:rsidRPr="00A96B30">
        <w:rPr>
          <w:sz w:val="22"/>
          <w:szCs w:val="22"/>
        </w:rPr>
        <w:t>3</w:t>
      </w:r>
      <w:r w:rsidRPr="00A96B30">
        <w:rPr>
          <w:sz w:val="22"/>
          <w:szCs w:val="22"/>
        </w:rPr>
        <w:tab/>
        <w:t xml:space="preserve">Service charges will reflect the actual costs of delivering a particular service. Deficits </w:t>
      </w:r>
      <w:r w:rsidR="00966E57" w:rsidRPr="00A96B30">
        <w:rPr>
          <w:sz w:val="22"/>
          <w:szCs w:val="22"/>
        </w:rPr>
        <w:t>should be paid within the year they are due. C</w:t>
      </w:r>
      <w:r w:rsidRPr="00A96B30">
        <w:rPr>
          <w:sz w:val="22"/>
          <w:szCs w:val="22"/>
        </w:rPr>
        <w:t>redits from previous years will be carried forward into subsequent years for calculation of service charges on an annual basis. We will notify all leaseholders of their actual charges once a year.</w:t>
      </w:r>
    </w:p>
    <w:p w14:paraId="732EE1FB" w14:textId="68A05943" w:rsidR="006819E5" w:rsidRPr="00A96B30" w:rsidRDefault="006819E5" w:rsidP="006819E5">
      <w:pPr>
        <w:tabs>
          <w:tab w:val="left" w:pos="720"/>
          <w:tab w:val="left" w:pos="1440"/>
        </w:tabs>
        <w:ind w:left="720" w:hanging="720"/>
        <w:jc w:val="left"/>
        <w:rPr>
          <w:sz w:val="22"/>
          <w:szCs w:val="22"/>
        </w:rPr>
      </w:pPr>
    </w:p>
    <w:p w14:paraId="6A8D3B93" w14:textId="22224C31" w:rsidR="006819E5" w:rsidRPr="00A96B30" w:rsidRDefault="006819E5" w:rsidP="006819E5">
      <w:pPr>
        <w:tabs>
          <w:tab w:val="left" w:pos="720"/>
          <w:tab w:val="left" w:pos="1440"/>
        </w:tabs>
        <w:ind w:left="720" w:hanging="720"/>
        <w:jc w:val="left"/>
        <w:rPr>
          <w:sz w:val="22"/>
          <w:szCs w:val="22"/>
        </w:rPr>
      </w:pPr>
      <w:r w:rsidRPr="00A96B30">
        <w:rPr>
          <w:sz w:val="22"/>
          <w:szCs w:val="22"/>
        </w:rPr>
        <w:t>5.</w:t>
      </w:r>
      <w:r w:rsidR="008748FD" w:rsidRPr="00A96B30">
        <w:rPr>
          <w:sz w:val="22"/>
          <w:szCs w:val="22"/>
        </w:rPr>
        <w:t>4</w:t>
      </w:r>
      <w:r w:rsidRPr="00A96B30">
        <w:rPr>
          <w:sz w:val="22"/>
          <w:szCs w:val="22"/>
        </w:rPr>
        <w:tab/>
        <w:t>Our management fee will be based on the actual costs of delivering the leaseholder service including officers and overhead costs.</w:t>
      </w:r>
      <w:r w:rsidR="00CF2164" w:rsidRPr="00A96B30">
        <w:rPr>
          <w:sz w:val="22"/>
          <w:szCs w:val="22"/>
        </w:rPr>
        <w:t xml:space="preserve"> This is currently</w:t>
      </w:r>
      <w:r w:rsidR="00CF2164" w:rsidRPr="00A96B30">
        <w:rPr>
          <w:color w:val="FF0000"/>
          <w:sz w:val="22"/>
          <w:szCs w:val="22"/>
        </w:rPr>
        <w:t xml:space="preserve"> </w:t>
      </w:r>
      <w:r w:rsidR="00CF2164" w:rsidRPr="00A96B30">
        <w:rPr>
          <w:sz w:val="22"/>
          <w:szCs w:val="22"/>
        </w:rPr>
        <w:t>set at 15% of total costs, excluding utility charges and managing agent fees, which are both 5%</w:t>
      </w:r>
    </w:p>
    <w:p w14:paraId="52DE0914" w14:textId="2B0F1D48" w:rsidR="006819E5" w:rsidRPr="00A96B30" w:rsidRDefault="006819E5" w:rsidP="006819E5">
      <w:pPr>
        <w:tabs>
          <w:tab w:val="left" w:pos="720"/>
          <w:tab w:val="left" w:pos="1440"/>
        </w:tabs>
        <w:ind w:left="720" w:hanging="720"/>
        <w:jc w:val="left"/>
        <w:rPr>
          <w:sz w:val="22"/>
          <w:szCs w:val="22"/>
        </w:rPr>
      </w:pPr>
    </w:p>
    <w:p w14:paraId="7DE324E6" w14:textId="198CEB92" w:rsidR="006819E5" w:rsidRPr="00A96B30" w:rsidRDefault="006819E5" w:rsidP="006819E5">
      <w:pPr>
        <w:tabs>
          <w:tab w:val="left" w:pos="720"/>
          <w:tab w:val="left" w:pos="1440"/>
        </w:tabs>
        <w:ind w:left="720" w:hanging="720"/>
        <w:jc w:val="left"/>
        <w:rPr>
          <w:sz w:val="22"/>
          <w:szCs w:val="22"/>
        </w:rPr>
      </w:pPr>
      <w:r w:rsidRPr="00A96B30">
        <w:rPr>
          <w:sz w:val="22"/>
          <w:szCs w:val="22"/>
        </w:rPr>
        <w:t>5.</w:t>
      </w:r>
      <w:r w:rsidR="008748FD" w:rsidRPr="00A96B30">
        <w:rPr>
          <w:sz w:val="22"/>
          <w:szCs w:val="22"/>
        </w:rPr>
        <w:t xml:space="preserve">5 </w:t>
      </w:r>
      <w:r w:rsidR="00CF2164" w:rsidRPr="00A96B30">
        <w:rPr>
          <w:sz w:val="22"/>
          <w:szCs w:val="22"/>
        </w:rPr>
        <w:tab/>
      </w:r>
      <w:r w:rsidR="00C66335" w:rsidRPr="00A96B30">
        <w:rPr>
          <w:sz w:val="22"/>
          <w:szCs w:val="22"/>
        </w:rPr>
        <w:t>W</w:t>
      </w:r>
      <w:r w:rsidR="00CF2164" w:rsidRPr="00A96B30">
        <w:rPr>
          <w:sz w:val="22"/>
          <w:szCs w:val="22"/>
        </w:rPr>
        <w:t xml:space="preserve">e accept payments in </w:t>
      </w:r>
      <w:r w:rsidR="00C66335" w:rsidRPr="00A96B30">
        <w:rPr>
          <w:sz w:val="22"/>
          <w:szCs w:val="22"/>
        </w:rPr>
        <w:t>various ways in line with normal payment arrangements.</w:t>
      </w:r>
    </w:p>
    <w:p w14:paraId="4E360D5D" w14:textId="7359E7CA" w:rsidR="009F2F82" w:rsidRPr="00A96B30" w:rsidRDefault="009F2F82" w:rsidP="006819E5">
      <w:pPr>
        <w:tabs>
          <w:tab w:val="left" w:pos="720"/>
          <w:tab w:val="left" w:pos="1440"/>
        </w:tabs>
        <w:ind w:left="720" w:hanging="720"/>
        <w:jc w:val="left"/>
        <w:rPr>
          <w:sz w:val="22"/>
          <w:szCs w:val="22"/>
        </w:rPr>
      </w:pPr>
    </w:p>
    <w:p w14:paraId="5B1E3322" w14:textId="16AD6A3D" w:rsidR="009F2F82" w:rsidRPr="00A96B30" w:rsidRDefault="009F2F82" w:rsidP="006819E5">
      <w:pPr>
        <w:tabs>
          <w:tab w:val="left" w:pos="720"/>
          <w:tab w:val="left" w:pos="1440"/>
        </w:tabs>
        <w:ind w:left="720" w:hanging="720"/>
        <w:jc w:val="left"/>
        <w:rPr>
          <w:sz w:val="22"/>
          <w:szCs w:val="22"/>
        </w:rPr>
      </w:pPr>
      <w:r w:rsidRPr="00A96B30">
        <w:rPr>
          <w:sz w:val="22"/>
          <w:szCs w:val="22"/>
        </w:rPr>
        <w:t>5.6</w:t>
      </w:r>
      <w:r w:rsidRPr="00A96B30">
        <w:rPr>
          <w:sz w:val="22"/>
          <w:szCs w:val="22"/>
        </w:rPr>
        <w:tab/>
      </w:r>
      <w:r w:rsidR="00A53C8D" w:rsidRPr="00A96B30">
        <w:rPr>
          <w:sz w:val="22"/>
          <w:szCs w:val="22"/>
        </w:rPr>
        <w:t>W</w:t>
      </w:r>
      <w:r w:rsidRPr="00A96B30">
        <w:rPr>
          <w:sz w:val="22"/>
          <w:szCs w:val="22"/>
        </w:rPr>
        <w:t>e will follow our arrears process for any outstanding debts belonging to a leaseholder.</w:t>
      </w:r>
    </w:p>
    <w:p w14:paraId="33821076" w14:textId="1FBE5051" w:rsidR="009F2F82" w:rsidRPr="00A96B30" w:rsidRDefault="009F2F82" w:rsidP="006819E5">
      <w:pPr>
        <w:tabs>
          <w:tab w:val="left" w:pos="720"/>
          <w:tab w:val="left" w:pos="1440"/>
        </w:tabs>
        <w:ind w:left="720" w:hanging="720"/>
        <w:jc w:val="left"/>
        <w:rPr>
          <w:sz w:val="22"/>
          <w:szCs w:val="22"/>
        </w:rPr>
      </w:pPr>
    </w:p>
    <w:p w14:paraId="631BF7E9" w14:textId="3AC9774A" w:rsidR="009F2F82" w:rsidRPr="00A96B30" w:rsidRDefault="009F2F82" w:rsidP="006819E5">
      <w:pPr>
        <w:tabs>
          <w:tab w:val="left" w:pos="720"/>
          <w:tab w:val="left" w:pos="1440"/>
        </w:tabs>
        <w:ind w:left="720" w:hanging="720"/>
        <w:jc w:val="left"/>
        <w:rPr>
          <w:sz w:val="22"/>
          <w:szCs w:val="22"/>
        </w:rPr>
      </w:pPr>
      <w:r w:rsidRPr="00A96B30">
        <w:rPr>
          <w:sz w:val="22"/>
          <w:szCs w:val="22"/>
        </w:rPr>
        <w:t>5.7</w:t>
      </w:r>
      <w:r w:rsidRPr="00A96B30">
        <w:rPr>
          <w:sz w:val="22"/>
          <w:szCs w:val="22"/>
        </w:rPr>
        <w:tab/>
      </w:r>
      <w:r w:rsidR="00A53C8D" w:rsidRPr="00A96B30">
        <w:rPr>
          <w:sz w:val="22"/>
          <w:szCs w:val="22"/>
        </w:rPr>
        <w:t>D</w:t>
      </w:r>
      <w:r w:rsidRPr="00A96B30">
        <w:rPr>
          <w:sz w:val="22"/>
          <w:szCs w:val="22"/>
        </w:rPr>
        <w:t xml:space="preserve">isputes around service charges should initially be made to us for resolution using our complaints process. </w:t>
      </w:r>
      <w:r w:rsidR="00A53C8D" w:rsidRPr="00A96B30">
        <w:rPr>
          <w:sz w:val="22"/>
          <w:szCs w:val="22"/>
        </w:rPr>
        <w:t>If we do not uphold a dispute and you are unhappy with a decision you can apply to the First Tier Tribunal-Property Chamber (Residential Property) or a County Court for a judgement on this. We recommend seeking independent legal advice in this respect.</w:t>
      </w:r>
    </w:p>
    <w:p w14:paraId="3465E44B" w14:textId="57E21C8A" w:rsidR="00BA7D46" w:rsidRPr="00A96B30" w:rsidRDefault="00BA7D46" w:rsidP="005975D4">
      <w:pPr>
        <w:tabs>
          <w:tab w:val="left" w:pos="720"/>
          <w:tab w:val="left" w:pos="1440"/>
        </w:tabs>
        <w:ind w:left="720" w:hanging="720"/>
        <w:jc w:val="left"/>
        <w:rPr>
          <w:b/>
          <w:bCs/>
          <w:sz w:val="22"/>
          <w:szCs w:val="22"/>
        </w:rPr>
      </w:pPr>
    </w:p>
    <w:p w14:paraId="186DBE51" w14:textId="72747054" w:rsidR="008748FD" w:rsidRPr="00A96B30" w:rsidRDefault="008748FD" w:rsidP="005975D4">
      <w:pPr>
        <w:tabs>
          <w:tab w:val="left" w:pos="720"/>
          <w:tab w:val="left" w:pos="1440"/>
        </w:tabs>
        <w:ind w:left="720" w:hanging="720"/>
        <w:jc w:val="left"/>
        <w:rPr>
          <w:b/>
          <w:bCs/>
          <w:sz w:val="22"/>
          <w:szCs w:val="22"/>
        </w:rPr>
      </w:pPr>
      <w:r w:rsidRPr="00A96B30">
        <w:rPr>
          <w:b/>
          <w:bCs/>
          <w:sz w:val="22"/>
          <w:szCs w:val="22"/>
        </w:rPr>
        <w:t>6</w:t>
      </w:r>
      <w:r w:rsidRPr="00A96B30">
        <w:rPr>
          <w:b/>
          <w:bCs/>
          <w:sz w:val="22"/>
          <w:szCs w:val="22"/>
        </w:rPr>
        <w:tab/>
        <w:t>Changes to Leases</w:t>
      </w:r>
    </w:p>
    <w:p w14:paraId="749B21CF" w14:textId="7E6CF01E" w:rsidR="008748FD" w:rsidRPr="00A96B30" w:rsidRDefault="008748FD" w:rsidP="005975D4">
      <w:pPr>
        <w:tabs>
          <w:tab w:val="left" w:pos="720"/>
          <w:tab w:val="left" w:pos="1440"/>
        </w:tabs>
        <w:ind w:left="720" w:hanging="720"/>
        <w:jc w:val="left"/>
        <w:rPr>
          <w:sz w:val="22"/>
          <w:szCs w:val="22"/>
        </w:rPr>
      </w:pPr>
    </w:p>
    <w:p w14:paraId="16B03ED6" w14:textId="77777777" w:rsidR="008748FD" w:rsidRPr="00A96B30" w:rsidRDefault="008748FD" w:rsidP="005975D4">
      <w:pPr>
        <w:tabs>
          <w:tab w:val="left" w:pos="720"/>
          <w:tab w:val="left" w:pos="1440"/>
        </w:tabs>
        <w:ind w:left="720" w:hanging="720"/>
        <w:jc w:val="left"/>
        <w:rPr>
          <w:sz w:val="22"/>
          <w:szCs w:val="22"/>
        </w:rPr>
      </w:pPr>
      <w:r w:rsidRPr="00A96B30">
        <w:rPr>
          <w:sz w:val="22"/>
          <w:szCs w:val="22"/>
        </w:rPr>
        <w:t>6.1</w:t>
      </w:r>
      <w:r w:rsidRPr="00A96B30">
        <w:rPr>
          <w:sz w:val="22"/>
          <w:szCs w:val="22"/>
        </w:rPr>
        <w:tab/>
        <w:t>Leases will only be altered by a ‘Deed of Variation’ approved by a court or Leasehold Valuation Tribunal and with the permission of the leaseholder.</w:t>
      </w:r>
    </w:p>
    <w:p w14:paraId="50898BD5" w14:textId="77777777" w:rsidR="008748FD" w:rsidRPr="00A96B30" w:rsidRDefault="008748FD" w:rsidP="005975D4">
      <w:pPr>
        <w:tabs>
          <w:tab w:val="left" w:pos="720"/>
          <w:tab w:val="left" w:pos="1440"/>
        </w:tabs>
        <w:ind w:left="720" w:hanging="720"/>
        <w:jc w:val="left"/>
        <w:rPr>
          <w:sz w:val="22"/>
          <w:szCs w:val="22"/>
        </w:rPr>
      </w:pPr>
    </w:p>
    <w:p w14:paraId="34449AB9" w14:textId="34A9631B" w:rsidR="008748FD" w:rsidRPr="00A96B30" w:rsidRDefault="008748FD" w:rsidP="005975D4">
      <w:pPr>
        <w:tabs>
          <w:tab w:val="left" w:pos="720"/>
          <w:tab w:val="left" w:pos="1440"/>
        </w:tabs>
        <w:ind w:left="720" w:hanging="720"/>
        <w:jc w:val="left"/>
        <w:rPr>
          <w:sz w:val="22"/>
          <w:szCs w:val="22"/>
        </w:rPr>
      </w:pPr>
      <w:r w:rsidRPr="00A96B30">
        <w:rPr>
          <w:sz w:val="22"/>
          <w:szCs w:val="22"/>
        </w:rPr>
        <w:t>6.2</w:t>
      </w:r>
      <w:r w:rsidRPr="00A96B30">
        <w:rPr>
          <w:sz w:val="22"/>
          <w:szCs w:val="22"/>
        </w:rPr>
        <w:tab/>
        <w:t>Leaseholders will be consulted in compliance with Section 20 of the Landlord and Tenant Act 1985 (as amended by the Commonhold and Leasehold Reform Act 2002)</w:t>
      </w:r>
    </w:p>
    <w:p w14:paraId="614BD873" w14:textId="35BBA538" w:rsidR="008748FD" w:rsidRPr="00A96B30" w:rsidRDefault="008748FD" w:rsidP="005975D4">
      <w:pPr>
        <w:tabs>
          <w:tab w:val="left" w:pos="720"/>
          <w:tab w:val="left" w:pos="1440"/>
        </w:tabs>
        <w:ind w:left="720" w:hanging="720"/>
        <w:jc w:val="left"/>
        <w:rPr>
          <w:sz w:val="22"/>
          <w:szCs w:val="22"/>
        </w:rPr>
      </w:pPr>
    </w:p>
    <w:p w14:paraId="7ABE2F54" w14:textId="76DC64B9" w:rsidR="008748FD" w:rsidRPr="00A96B30" w:rsidRDefault="008748FD" w:rsidP="005975D4">
      <w:pPr>
        <w:tabs>
          <w:tab w:val="left" w:pos="720"/>
          <w:tab w:val="left" w:pos="1440"/>
        </w:tabs>
        <w:ind w:left="720" w:hanging="720"/>
        <w:jc w:val="left"/>
        <w:rPr>
          <w:sz w:val="22"/>
          <w:szCs w:val="22"/>
        </w:rPr>
      </w:pPr>
      <w:r w:rsidRPr="00A96B30">
        <w:rPr>
          <w:sz w:val="22"/>
          <w:szCs w:val="22"/>
        </w:rPr>
        <w:t>6.3</w:t>
      </w:r>
      <w:r w:rsidRPr="00A96B30">
        <w:rPr>
          <w:sz w:val="22"/>
          <w:szCs w:val="22"/>
        </w:rPr>
        <w:tab/>
        <w:t>Any leaseholder wishing to carry out improvement works to their home will be required to seek written permission detailing the proposed works. If the application is refused, this will be put in writing with the reasons provided.</w:t>
      </w:r>
    </w:p>
    <w:p w14:paraId="0010FCC8" w14:textId="77777777" w:rsidR="008A0E5D" w:rsidRPr="00A96B30" w:rsidRDefault="008A0E5D" w:rsidP="005975D4">
      <w:pPr>
        <w:tabs>
          <w:tab w:val="left" w:pos="720"/>
          <w:tab w:val="left" w:pos="1440"/>
        </w:tabs>
        <w:ind w:left="720" w:hanging="720"/>
        <w:jc w:val="left"/>
        <w:rPr>
          <w:sz w:val="22"/>
          <w:szCs w:val="22"/>
        </w:rPr>
      </w:pPr>
    </w:p>
    <w:p w14:paraId="7335DCB5" w14:textId="26BE239A" w:rsidR="006168A0" w:rsidRPr="00A96B30" w:rsidRDefault="006168A0" w:rsidP="006168A0">
      <w:pPr>
        <w:tabs>
          <w:tab w:val="left" w:pos="720"/>
          <w:tab w:val="left" w:pos="1440"/>
        </w:tabs>
        <w:ind w:left="720" w:hanging="720"/>
        <w:jc w:val="left"/>
        <w:rPr>
          <w:sz w:val="22"/>
          <w:szCs w:val="22"/>
        </w:rPr>
      </w:pPr>
      <w:r w:rsidRPr="00A96B30">
        <w:rPr>
          <w:sz w:val="22"/>
          <w:szCs w:val="22"/>
        </w:rPr>
        <w:lastRenderedPageBreak/>
        <w:t>6.4</w:t>
      </w:r>
      <w:r w:rsidRPr="00A96B30">
        <w:rPr>
          <w:sz w:val="22"/>
          <w:szCs w:val="22"/>
        </w:rPr>
        <w:tab/>
        <w:t xml:space="preserve">We currently offer </w:t>
      </w:r>
      <w:r w:rsidR="00966E57" w:rsidRPr="00A96B30">
        <w:rPr>
          <w:sz w:val="22"/>
          <w:szCs w:val="22"/>
        </w:rPr>
        <w:t>99-year</w:t>
      </w:r>
      <w:r w:rsidRPr="00A96B30">
        <w:rPr>
          <w:sz w:val="22"/>
          <w:szCs w:val="22"/>
        </w:rPr>
        <w:t xml:space="preserve"> leases for Shared Ownership and </w:t>
      </w:r>
      <w:r w:rsidR="00966E57" w:rsidRPr="00A96B30">
        <w:rPr>
          <w:sz w:val="22"/>
          <w:szCs w:val="22"/>
        </w:rPr>
        <w:t>125-year</w:t>
      </w:r>
      <w:r w:rsidRPr="00A96B30">
        <w:rPr>
          <w:sz w:val="22"/>
          <w:szCs w:val="22"/>
        </w:rPr>
        <w:t xml:space="preserve"> leases if flats are sold through Right to Buy or Right to Acquire.</w:t>
      </w:r>
    </w:p>
    <w:p w14:paraId="6768A575" w14:textId="77777777" w:rsidR="008A0E5D" w:rsidRPr="00A96B30" w:rsidRDefault="008A0E5D" w:rsidP="006168A0">
      <w:pPr>
        <w:tabs>
          <w:tab w:val="left" w:pos="720"/>
          <w:tab w:val="left" w:pos="1440"/>
        </w:tabs>
        <w:ind w:left="720" w:hanging="720"/>
        <w:jc w:val="left"/>
        <w:rPr>
          <w:sz w:val="22"/>
          <w:szCs w:val="22"/>
        </w:rPr>
      </w:pPr>
    </w:p>
    <w:p w14:paraId="7243F35C" w14:textId="5B9D955F" w:rsidR="006168A0" w:rsidRPr="00A96B30" w:rsidRDefault="006168A0" w:rsidP="00966E57">
      <w:pPr>
        <w:tabs>
          <w:tab w:val="left" w:pos="720"/>
          <w:tab w:val="left" w:pos="1440"/>
        </w:tabs>
        <w:ind w:left="720" w:hanging="720"/>
        <w:jc w:val="left"/>
        <w:rPr>
          <w:sz w:val="22"/>
          <w:szCs w:val="22"/>
        </w:rPr>
      </w:pPr>
      <w:r w:rsidRPr="00A96B30">
        <w:rPr>
          <w:sz w:val="22"/>
          <w:szCs w:val="22"/>
        </w:rPr>
        <w:t>6.5</w:t>
      </w:r>
      <w:r w:rsidRPr="00A96B30">
        <w:rPr>
          <w:sz w:val="22"/>
          <w:szCs w:val="22"/>
        </w:rPr>
        <w:tab/>
        <w:t>We offer lease extensions and follow the statutory process for these, details on this process are contained within our procedure.</w:t>
      </w:r>
    </w:p>
    <w:p w14:paraId="43F3ECE2" w14:textId="22ACABE2" w:rsidR="005964C9" w:rsidRPr="00A96B30" w:rsidRDefault="005964C9" w:rsidP="005975D4">
      <w:pPr>
        <w:tabs>
          <w:tab w:val="left" w:pos="720"/>
          <w:tab w:val="left" w:pos="1440"/>
        </w:tabs>
        <w:ind w:left="720" w:hanging="720"/>
        <w:jc w:val="left"/>
        <w:rPr>
          <w:sz w:val="22"/>
          <w:szCs w:val="22"/>
        </w:rPr>
      </w:pPr>
    </w:p>
    <w:p w14:paraId="554AB7B2" w14:textId="712C5F46" w:rsidR="008748FD" w:rsidRPr="00A96B30" w:rsidRDefault="008748FD" w:rsidP="005975D4">
      <w:pPr>
        <w:tabs>
          <w:tab w:val="left" w:pos="720"/>
          <w:tab w:val="left" w:pos="1440"/>
        </w:tabs>
        <w:ind w:left="720" w:hanging="720"/>
        <w:jc w:val="left"/>
        <w:rPr>
          <w:b/>
          <w:bCs/>
          <w:sz w:val="22"/>
          <w:szCs w:val="22"/>
        </w:rPr>
      </w:pPr>
      <w:r w:rsidRPr="00A96B30">
        <w:rPr>
          <w:b/>
          <w:bCs/>
          <w:sz w:val="22"/>
          <w:szCs w:val="22"/>
        </w:rPr>
        <w:t>7</w:t>
      </w:r>
      <w:r w:rsidRPr="00A96B30">
        <w:rPr>
          <w:b/>
          <w:bCs/>
          <w:sz w:val="22"/>
          <w:szCs w:val="22"/>
        </w:rPr>
        <w:tab/>
        <w:t>Breaches of the Lease</w:t>
      </w:r>
    </w:p>
    <w:p w14:paraId="4E4FFF35" w14:textId="6DFE7AFA" w:rsidR="008748FD" w:rsidRPr="00A96B30" w:rsidRDefault="008748FD" w:rsidP="005975D4">
      <w:pPr>
        <w:tabs>
          <w:tab w:val="left" w:pos="720"/>
          <w:tab w:val="left" w:pos="1440"/>
        </w:tabs>
        <w:ind w:left="720" w:hanging="720"/>
        <w:jc w:val="left"/>
        <w:rPr>
          <w:sz w:val="22"/>
          <w:szCs w:val="22"/>
        </w:rPr>
      </w:pPr>
    </w:p>
    <w:p w14:paraId="56C0CA25" w14:textId="78DBDA07" w:rsidR="008748FD" w:rsidRPr="00A96B30" w:rsidRDefault="008748FD" w:rsidP="005975D4">
      <w:pPr>
        <w:tabs>
          <w:tab w:val="left" w:pos="720"/>
          <w:tab w:val="left" w:pos="1440"/>
        </w:tabs>
        <w:ind w:left="720" w:hanging="720"/>
        <w:jc w:val="left"/>
        <w:rPr>
          <w:sz w:val="22"/>
          <w:szCs w:val="22"/>
        </w:rPr>
      </w:pPr>
      <w:r w:rsidRPr="00A96B30">
        <w:rPr>
          <w:sz w:val="22"/>
          <w:szCs w:val="22"/>
        </w:rPr>
        <w:t>7.1</w:t>
      </w:r>
      <w:r w:rsidRPr="00A96B30">
        <w:rPr>
          <w:sz w:val="22"/>
          <w:szCs w:val="22"/>
        </w:rPr>
        <w:tab/>
        <w:t>We will take appropriate action where a leaseholder is acting in breach of the terms of the lease.</w:t>
      </w:r>
      <w:r w:rsidR="00A47D4E" w:rsidRPr="00A96B30">
        <w:rPr>
          <w:sz w:val="22"/>
          <w:szCs w:val="22"/>
        </w:rPr>
        <w:t xml:space="preserve"> </w:t>
      </w:r>
    </w:p>
    <w:p w14:paraId="7E5A13CD" w14:textId="77777777" w:rsidR="008748FD" w:rsidRPr="00A96B30" w:rsidRDefault="008748FD" w:rsidP="005975D4">
      <w:pPr>
        <w:tabs>
          <w:tab w:val="left" w:pos="720"/>
          <w:tab w:val="left" w:pos="1440"/>
        </w:tabs>
        <w:ind w:left="720" w:hanging="720"/>
        <w:jc w:val="left"/>
        <w:rPr>
          <w:sz w:val="22"/>
          <w:szCs w:val="22"/>
        </w:rPr>
      </w:pPr>
    </w:p>
    <w:p w14:paraId="7FD3798E" w14:textId="78063448" w:rsidR="0005212D" w:rsidRPr="00A96B30" w:rsidRDefault="00AB622F" w:rsidP="0005212D">
      <w:pPr>
        <w:tabs>
          <w:tab w:val="left" w:pos="720"/>
          <w:tab w:val="left" w:pos="1440"/>
        </w:tabs>
        <w:ind w:left="720" w:hanging="720"/>
        <w:jc w:val="left"/>
        <w:rPr>
          <w:b/>
          <w:sz w:val="22"/>
          <w:szCs w:val="22"/>
        </w:rPr>
      </w:pPr>
      <w:r w:rsidRPr="00A96B30">
        <w:rPr>
          <w:b/>
          <w:sz w:val="22"/>
          <w:szCs w:val="22"/>
        </w:rPr>
        <w:t>8</w:t>
      </w:r>
      <w:r w:rsidR="0005212D" w:rsidRPr="00A96B30">
        <w:rPr>
          <w:b/>
          <w:sz w:val="22"/>
          <w:szCs w:val="22"/>
        </w:rPr>
        <w:tab/>
        <w:t>Legislation and Regulation</w:t>
      </w:r>
    </w:p>
    <w:p w14:paraId="6EEB4C85" w14:textId="77777777" w:rsidR="00ED5FE4" w:rsidRPr="00A96B30" w:rsidRDefault="00ED5FE4" w:rsidP="0005212D">
      <w:pPr>
        <w:tabs>
          <w:tab w:val="left" w:pos="720"/>
          <w:tab w:val="left" w:pos="1440"/>
        </w:tabs>
        <w:ind w:left="720" w:hanging="720"/>
        <w:jc w:val="left"/>
        <w:rPr>
          <w:b/>
          <w:sz w:val="22"/>
          <w:szCs w:val="22"/>
        </w:rPr>
      </w:pPr>
    </w:p>
    <w:p w14:paraId="53E387F8" w14:textId="50CDAC93" w:rsidR="00BA7D46" w:rsidRPr="00A96B30" w:rsidRDefault="00AB622F" w:rsidP="005975D4">
      <w:pPr>
        <w:tabs>
          <w:tab w:val="left" w:pos="720"/>
          <w:tab w:val="left" w:pos="1440"/>
        </w:tabs>
        <w:ind w:left="720" w:hanging="720"/>
        <w:jc w:val="left"/>
        <w:rPr>
          <w:sz w:val="22"/>
          <w:szCs w:val="22"/>
        </w:rPr>
      </w:pPr>
      <w:r w:rsidRPr="00A96B30">
        <w:rPr>
          <w:sz w:val="22"/>
          <w:szCs w:val="22"/>
        </w:rPr>
        <w:t>8</w:t>
      </w:r>
      <w:r w:rsidR="00BA7D46" w:rsidRPr="00A96B30">
        <w:rPr>
          <w:sz w:val="22"/>
          <w:szCs w:val="22"/>
        </w:rPr>
        <w:t>.1</w:t>
      </w:r>
      <w:r w:rsidR="00BA7D46" w:rsidRPr="00A96B30">
        <w:rPr>
          <w:b/>
          <w:sz w:val="22"/>
          <w:szCs w:val="22"/>
        </w:rPr>
        <w:tab/>
      </w:r>
      <w:r w:rsidR="00BA7D46" w:rsidRPr="00A96B30">
        <w:rPr>
          <w:sz w:val="22"/>
          <w:szCs w:val="22"/>
        </w:rPr>
        <w:t>The legislation governing leasehold property has developed over a long period of time and is contained in several acts of parliament as well as in various orders and regulations. The key legislation includes:</w:t>
      </w:r>
    </w:p>
    <w:p w14:paraId="5AE42675" w14:textId="77777777" w:rsidR="00BA7D46" w:rsidRPr="00A96B30" w:rsidRDefault="00BA7D46">
      <w:pPr>
        <w:ind w:left="720"/>
        <w:rPr>
          <w:sz w:val="22"/>
          <w:szCs w:val="22"/>
        </w:rPr>
      </w:pPr>
    </w:p>
    <w:p w14:paraId="7DA44FE2" w14:textId="57D369EF" w:rsidR="00BA7D46" w:rsidRPr="00A96B30" w:rsidRDefault="00BA7D46" w:rsidP="00A96B30">
      <w:pPr>
        <w:pStyle w:val="ListParagraph"/>
        <w:numPr>
          <w:ilvl w:val="1"/>
          <w:numId w:val="40"/>
        </w:numPr>
        <w:ind w:left="1134" w:hanging="425"/>
        <w:rPr>
          <w:sz w:val="22"/>
          <w:szCs w:val="22"/>
        </w:rPr>
      </w:pPr>
      <w:r w:rsidRPr="00A96B30">
        <w:rPr>
          <w:sz w:val="22"/>
          <w:szCs w:val="22"/>
        </w:rPr>
        <w:t>The Landlord &amp; Tenant Acts of 1985 and 1987</w:t>
      </w:r>
    </w:p>
    <w:p w14:paraId="23999B32" w14:textId="75527531" w:rsidR="00BA7D46" w:rsidRPr="00A96B30" w:rsidRDefault="00BA7D46" w:rsidP="00A96B30">
      <w:pPr>
        <w:pStyle w:val="ListParagraph"/>
        <w:numPr>
          <w:ilvl w:val="1"/>
          <w:numId w:val="40"/>
        </w:numPr>
        <w:ind w:left="1134" w:hanging="425"/>
        <w:rPr>
          <w:sz w:val="22"/>
          <w:szCs w:val="22"/>
        </w:rPr>
      </w:pPr>
      <w:r w:rsidRPr="00A96B30">
        <w:rPr>
          <w:sz w:val="22"/>
          <w:szCs w:val="22"/>
        </w:rPr>
        <w:t>The Leasehold Reform, Housing and Urban Development Act 1993</w:t>
      </w:r>
    </w:p>
    <w:p w14:paraId="56E39E03" w14:textId="5ED8BC23" w:rsidR="00BA7D46" w:rsidRPr="00A96B30" w:rsidRDefault="00BA7D46" w:rsidP="00A96B30">
      <w:pPr>
        <w:pStyle w:val="ListParagraph"/>
        <w:numPr>
          <w:ilvl w:val="1"/>
          <w:numId w:val="40"/>
        </w:numPr>
        <w:ind w:left="1134" w:hanging="425"/>
        <w:rPr>
          <w:sz w:val="22"/>
          <w:szCs w:val="22"/>
        </w:rPr>
      </w:pPr>
      <w:r w:rsidRPr="00A96B30">
        <w:rPr>
          <w:sz w:val="22"/>
          <w:szCs w:val="22"/>
        </w:rPr>
        <w:t>The Housing Act</w:t>
      </w:r>
      <w:r w:rsidR="006819E5" w:rsidRPr="00A96B30">
        <w:rPr>
          <w:sz w:val="22"/>
          <w:szCs w:val="22"/>
        </w:rPr>
        <w:t>(s)</w:t>
      </w:r>
      <w:r w:rsidRPr="00A96B30">
        <w:rPr>
          <w:sz w:val="22"/>
          <w:szCs w:val="22"/>
        </w:rPr>
        <w:t xml:space="preserve"> </w:t>
      </w:r>
      <w:r w:rsidR="006819E5" w:rsidRPr="00A96B30">
        <w:rPr>
          <w:sz w:val="22"/>
          <w:szCs w:val="22"/>
        </w:rPr>
        <w:t xml:space="preserve">1990, </w:t>
      </w:r>
      <w:r w:rsidRPr="00A96B30">
        <w:rPr>
          <w:sz w:val="22"/>
          <w:szCs w:val="22"/>
        </w:rPr>
        <w:t>1996</w:t>
      </w:r>
      <w:r w:rsidR="006819E5" w:rsidRPr="00A96B30">
        <w:rPr>
          <w:sz w:val="22"/>
          <w:szCs w:val="22"/>
        </w:rPr>
        <w:t xml:space="preserve"> and 2004</w:t>
      </w:r>
    </w:p>
    <w:p w14:paraId="7531B28D" w14:textId="05E36868" w:rsidR="00BA7D46" w:rsidRPr="00A96B30" w:rsidRDefault="00BA7D46" w:rsidP="00A96B30">
      <w:pPr>
        <w:pStyle w:val="ListParagraph"/>
        <w:numPr>
          <w:ilvl w:val="1"/>
          <w:numId w:val="40"/>
        </w:numPr>
        <w:ind w:left="1134" w:hanging="425"/>
        <w:rPr>
          <w:sz w:val="22"/>
          <w:szCs w:val="22"/>
        </w:rPr>
      </w:pPr>
      <w:r w:rsidRPr="00A96B30">
        <w:rPr>
          <w:sz w:val="22"/>
          <w:szCs w:val="22"/>
        </w:rPr>
        <w:t>The Commonhold and Leasehold Reform Act 2002.</w:t>
      </w:r>
    </w:p>
    <w:p w14:paraId="2D3837B0" w14:textId="5EE8D4F6" w:rsidR="006819E5" w:rsidRPr="00A96B30" w:rsidRDefault="006819E5" w:rsidP="00A96B30">
      <w:pPr>
        <w:pStyle w:val="ListParagraph"/>
        <w:numPr>
          <w:ilvl w:val="1"/>
          <w:numId w:val="40"/>
        </w:numPr>
        <w:ind w:left="1134" w:hanging="425"/>
        <w:rPr>
          <w:sz w:val="22"/>
          <w:szCs w:val="22"/>
        </w:rPr>
      </w:pPr>
      <w:r w:rsidRPr="00A96B30">
        <w:rPr>
          <w:sz w:val="22"/>
          <w:szCs w:val="22"/>
        </w:rPr>
        <w:t>Arbitration Act 1996</w:t>
      </w:r>
    </w:p>
    <w:p w14:paraId="0E9BC6C8" w14:textId="77777777" w:rsidR="00BA7D46" w:rsidRPr="00A96B30" w:rsidRDefault="00BA7D46">
      <w:pPr>
        <w:ind w:left="720"/>
        <w:rPr>
          <w:sz w:val="22"/>
          <w:szCs w:val="22"/>
        </w:rPr>
      </w:pPr>
    </w:p>
    <w:p w14:paraId="0925AE5E" w14:textId="39EE5D32" w:rsidR="00BA7D46" w:rsidRPr="00A96B30" w:rsidRDefault="00BA7D46" w:rsidP="00A96B30">
      <w:pPr>
        <w:pStyle w:val="ListParagraph"/>
        <w:numPr>
          <w:ilvl w:val="1"/>
          <w:numId w:val="47"/>
        </w:numPr>
        <w:ind w:left="709" w:hanging="709"/>
        <w:rPr>
          <w:sz w:val="22"/>
          <w:szCs w:val="22"/>
        </w:rPr>
      </w:pPr>
      <w:r w:rsidRPr="00A96B30">
        <w:rPr>
          <w:sz w:val="22"/>
          <w:szCs w:val="22"/>
        </w:rPr>
        <w:t>Other relevant legislation includes:</w:t>
      </w:r>
    </w:p>
    <w:p w14:paraId="059EF91C" w14:textId="28B5A334" w:rsidR="00BA7D46" w:rsidRPr="00A96B30" w:rsidRDefault="00BA7D46" w:rsidP="00A96B30">
      <w:pPr>
        <w:ind w:firstLine="1440"/>
        <w:rPr>
          <w:sz w:val="22"/>
          <w:szCs w:val="22"/>
        </w:rPr>
      </w:pPr>
    </w:p>
    <w:p w14:paraId="32F0472D" w14:textId="77777777" w:rsidR="00A96B30" w:rsidRDefault="00BA7D46" w:rsidP="00A96B30">
      <w:pPr>
        <w:pStyle w:val="ListParagraph"/>
        <w:numPr>
          <w:ilvl w:val="0"/>
          <w:numId w:val="46"/>
        </w:numPr>
        <w:ind w:left="1134" w:hanging="425"/>
        <w:rPr>
          <w:sz w:val="22"/>
          <w:szCs w:val="22"/>
        </w:rPr>
      </w:pPr>
      <w:r w:rsidRPr="00A96B30">
        <w:rPr>
          <w:sz w:val="22"/>
          <w:szCs w:val="22"/>
        </w:rPr>
        <w:t>The Housing Act 1985</w:t>
      </w:r>
    </w:p>
    <w:p w14:paraId="07D90290" w14:textId="77777777" w:rsidR="00A96B30" w:rsidRDefault="00BA7D46" w:rsidP="00A96B30">
      <w:pPr>
        <w:pStyle w:val="ListParagraph"/>
        <w:numPr>
          <w:ilvl w:val="0"/>
          <w:numId w:val="46"/>
        </w:numPr>
        <w:ind w:left="1134" w:hanging="425"/>
        <w:rPr>
          <w:sz w:val="22"/>
          <w:szCs w:val="22"/>
        </w:rPr>
      </w:pPr>
      <w:r w:rsidRPr="00A96B30">
        <w:rPr>
          <w:sz w:val="22"/>
          <w:szCs w:val="22"/>
        </w:rPr>
        <w:t>The Property Misdescriptions Act 1991</w:t>
      </w:r>
    </w:p>
    <w:p w14:paraId="5DA8290D" w14:textId="77777777" w:rsidR="00A96B30" w:rsidRDefault="00BA7D46" w:rsidP="00A96B30">
      <w:pPr>
        <w:pStyle w:val="ListParagraph"/>
        <w:numPr>
          <w:ilvl w:val="0"/>
          <w:numId w:val="46"/>
        </w:numPr>
        <w:ind w:left="1134" w:hanging="425"/>
        <w:rPr>
          <w:sz w:val="22"/>
          <w:szCs w:val="22"/>
        </w:rPr>
      </w:pPr>
      <w:r w:rsidRPr="00A96B30">
        <w:rPr>
          <w:sz w:val="22"/>
          <w:szCs w:val="22"/>
        </w:rPr>
        <w:t>The Consumer Protection Act 1987</w:t>
      </w:r>
    </w:p>
    <w:p w14:paraId="65BC78EF" w14:textId="77777777" w:rsidR="00A96B30" w:rsidRDefault="00BA7D46" w:rsidP="00A96B30">
      <w:pPr>
        <w:pStyle w:val="ListParagraph"/>
        <w:numPr>
          <w:ilvl w:val="0"/>
          <w:numId w:val="46"/>
        </w:numPr>
        <w:ind w:left="1134" w:hanging="425"/>
        <w:rPr>
          <w:sz w:val="22"/>
          <w:szCs w:val="22"/>
        </w:rPr>
      </w:pPr>
      <w:r w:rsidRPr="00A96B30">
        <w:rPr>
          <w:sz w:val="22"/>
          <w:szCs w:val="22"/>
        </w:rPr>
        <w:t>The Law of Property Act 1925</w:t>
      </w:r>
    </w:p>
    <w:p w14:paraId="0029DEC7" w14:textId="77777777" w:rsidR="00A96B30" w:rsidRDefault="00CF2164" w:rsidP="00A96B30">
      <w:pPr>
        <w:pStyle w:val="ListParagraph"/>
        <w:numPr>
          <w:ilvl w:val="0"/>
          <w:numId w:val="46"/>
        </w:numPr>
        <w:ind w:left="1134" w:hanging="425"/>
        <w:rPr>
          <w:sz w:val="22"/>
          <w:szCs w:val="22"/>
        </w:rPr>
      </w:pPr>
      <w:r w:rsidRPr="00A96B30">
        <w:rPr>
          <w:sz w:val="22"/>
          <w:szCs w:val="22"/>
        </w:rPr>
        <w:t>Consumer Rights Act 2015</w:t>
      </w:r>
      <w:r w:rsidR="006168A0" w:rsidRPr="00A96B30">
        <w:rPr>
          <w:sz w:val="22"/>
          <w:szCs w:val="22"/>
        </w:rPr>
        <w:tab/>
      </w:r>
      <w:r w:rsidR="006168A0" w:rsidRPr="00A96B30">
        <w:rPr>
          <w:sz w:val="22"/>
          <w:szCs w:val="22"/>
        </w:rPr>
        <w:tab/>
      </w:r>
    </w:p>
    <w:p w14:paraId="2649769D" w14:textId="3CF4388A" w:rsidR="006168A0" w:rsidRPr="00A96B30" w:rsidRDefault="006168A0" w:rsidP="00A96B30">
      <w:pPr>
        <w:pStyle w:val="ListParagraph"/>
        <w:numPr>
          <w:ilvl w:val="0"/>
          <w:numId w:val="46"/>
        </w:numPr>
        <w:ind w:left="1134" w:hanging="425"/>
        <w:rPr>
          <w:sz w:val="22"/>
          <w:szCs w:val="22"/>
        </w:rPr>
      </w:pPr>
      <w:r w:rsidRPr="00A96B30">
        <w:rPr>
          <w:sz w:val="22"/>
          <w:szCs w:val="22"/>
        </w:rPr>
        <w:t>Equality Act 2010</w:t>
      </w:r>
    </w:p>
    <w:p w14:paraId="63D67DA5" w14:textId="77777777" w:rsidR="00BA7D46" w:rsidRPr="00A96B30" w:rsidRDefault="00BA7D46" w:rsidP="00A96B30">
      <w:pPr>
        <w:ind w:left="1134" w:hanging="425"/>
        <w:rPr>
          <w:sz w:val="22"/>
          <w:szCs w:val="22"/>
        </w:rPr>
      </w:pPr>
    </w:p>
    <w:p w14:paraId="369F0A7E" w14:textId="4D6A3A2C" w:rsidR="00BA7D46" w:rsidRPr="00A96B30" w:rsidRDefault="00AB622F" w:rsidP="005975D4">
      <w:pPr>
        <w:tabs>
          <w:tab w:val="left" w:pos="720"/>
          <w:tab w:val="left" w:pos="1440"/>
        </w:tabs>
        <w:ind w:left="720" w:hanging="720"/>
        <w:jc w:val="left"/>
        <w:rPr>
          <w:sz w:val="22"/>
          <w:szCs w:val="22"/>
        </w:rPr>
      </w:pPr>
      <w:r w:rsidRPr="00A96B30">
        <w:rPr>
          <w:sz w:val="22"/>
          <w:szCs w:val="22"/>
        </w:rPr>
        <w:t>8</w:t>
      </w:r>
      <w:r w:rsidR="00BA7D46" w:rsidRPr="00A96B30">
        <w:rPr>
          <w:sz w:val="22"/>
          <w:szCs w:val="22"/>
        </w:rPr>
        <w:t>.3</w:t>
      </w:r>
      <w:r w:rsidR="00BA7D46" w:rsidRPr="00A96B30">
        <w:rPr>
          <w:sz w:val="22"/>
          <w:szCs w:val="22"/>
        </w:rPr>
        <w:tab/>
        <w:t xml:space="preserve">As leasehold legislation is complex and subject to frequent change, </w:t>
      </w:r>
      <w:r w:rsidR="00DE3C2B" w:rsidRPr="00A96B30">
        <w:rPr>
          <w:sz w:val="22"/>
          <w:szCs w:val="22"/>
        </w:rPr>
        <w:t>we</w:t>
      </w:r>
      <w:r w:rsidR="00BA7D46" w:rsidRPr="00A96B30">
        <w:rPr>
          <w:sz w:val="22"/>
          <w:szCs w:val="22"/>
        </w:rPr>
        <w:t xml:space="preserve"> will engage legal advisors with appropriate experience to ensure it complies with the legislation and </w:t>
      </w:r>
      <w:r w:rsidR="00DE3C2B" w:rsidRPr="00A96B30">
        <w:rPr>
          <w:sz w:val="22"/>
          <w:szCs w:val="22"/>
        </w:rPr>
        <w:t>are</w:t>
      </w:r>
      <w:r w:rsidR="00BA7D46" w:rsidRPr="00A96B30">
        <w:rPr>
          <w:sz w:val="22"/>
          <w:szCs w:val="22"/>
        </w:rPr>
        <w:t xml:space="preserve"> able to advise leaseholders accordingly.</w:t>
      </w:r>
    </w:p>
    <w:p w14:paraId="44DADCD2" w14:textId="1B564A92" w:rsidR="008748FD" w:rsidRPr="00A96B30" w:rsidRDefault="008748FD" w:rsidP="005975D4">
      <w:pPr>
        <w:tabs>
          <w:tab w:val="left" w:pos="720"/>
          <w:tab w:val="left" w:pos="1440"/>
        </w:tabs>
        <w:ind w:left="720" w:hanging="720"/>
        <w:jc w:val="left"/>
        <w:rPr>
          <w:sz w:val="22"/>
          <w:szCs w:val="22"/>
        </w:rPr>
      </w:pPr>
    </w:p>
    <w:p w14:paraId="58777431" w14:textId="2C0FD8A0" w:rsidR="008748FD" w:rsidRPr="00A96B30" w:rsidRDefault="00AB622F" w:rsidP="005975D4">
      <w:pPr>
        <w:tabs>
          <w:tab w:val="left" w:pos="720"/>
          <w:tab w:val="left" w:pos="1440"/>
        </w:tabs>
        <w:ind w:left="720" w:hanging="720"/>
        <w:jc w:val="left"/>
        <w:rPr>
          <w:sz w:val="22"/>
          <w:szCs w:val="22"/>
        </w:rPr>
      </w:pPr>
      <w:r w:rsidRPr="00A96B30">
        <w:rPr>
          <w:sz w:val="22"/>
          <w:szCs w:val="22"/>
        </w:rPr>
        <w:t>8</w:t>
      </w:r>
      <w:r w:rsidR="008748FD" w:rsidRPr="00A96B30">
        <w:rPr>
          <w:sz w:val="22"/>
          <w:szCs w:val="22"/>
        </w:rPr>
        <w:t>.4</w:t>
      </w:r>
      <w:r w:rsidR="008748FD" w:rsidRPr="00A96B30">
        <w:rPr>
          <w:sz w:val="22"/>
          <w:szCs w:val="22"/>
        </w:rPr>
        <w:tab/>
      </w:r>
      <w:r w:rsidR="009F2F82" w:rsidRPr="00A96B30">
        <w:rPr>
          <w:sz w:val="22"/>
          <w:szCs w:val="22"/>
        </w:rPr>
        <w:t xml:space="preserve">It is the </w:t>
      </w:r>
      <w:r w:rsidR="00A53C8D" w:rsidRPr="00A96B30">
        <w:rPr>
          <w:sz w:val="22"/>
          <w:szCs w:val="22"/>
        </w:rPr>
        <w:t>leaseholder’s</w:t>
      </w:r>
      <w:r w:rsidR="009F2F82" w:rsidRPr="00A96B30">
        <w:rPr>
          <w:sz w:val="22"/>
          <w:szCs w:val="22"/>
        </w:rPr>
        <w:t xml:space="preserve"> responsibility to keep their property safe</w:t>
      </w:r>
      <w:r w:rsidR="00A53C8D" w:rsidRPr="00A96B30">
        <w:rPr>
          <w:sz w:val="22"/>
          <w:szCs w:val="22"/>
        </w:rPr>
        <w:t>. The expectations as a leaseholder are outlined in the details of your lease agreement.</w:t>
      </w:r>
    </w:p>
    <w:p w14:paraId="0E625EAA" w14:textId="77777777" w:rsidR="00E51C46" w:rsidRPr="00A96B30" w:rsidRDefault="00E51C46" w:rsidP="005975D4">
      <w:pPr>
        <w:tabs>
          <w:tab w:val="left" w:pos="720"/>
          <w:tab w:val="left" w:pos="1440"/>
        </w:tabs>
        <w:ind w:left="720" w:hanging="720"/>
        <w:jc w:val="left"/>
        <w:rPr>
          <w:sz w:val="22"/>
          <w:szCs w:val="22"/>
        </w:rPr>
      </w:pPr>
    </w:p>
    <w:p w14:paraId="50660129" w14:textId="05280DDB" w:rsidR="00195A9B" w:rsidRPr="00A96B30" w:rsidRDefault="006168A0" w:rsidP="0005212D">
      <w:pPr>
        <w:tabs>
          <w:tab w:val="left" w:pos="720"/>
          <w:tab w:val="left" w:pos="1440"/>
        </w:tabs>
        <w:ind w:left="720" w:hanging="720"/>
        <w:jc w:val="left"/>
        <w:rPr>
          <w:sz w:val="22"/>
          <w:szCs w:val="22"/>
        </w:rPr>
      </w:pPr>
      <w:r w:rsidRPr="00A96B30">
        <w:rPr>
          <w:color w:val="1E1E1E"/>
          <w:sz w:val="22"/>
          <w:szCs w:val="22"/>
          <w:shd w:val="clear" w:color="auto" w:fill="FFFFFF"/>
        </w:rPr>
        <w:t>8.4</w:t>
      </w:r>
      <w:r w:rsidRPr="00A96B30">
        <w:rPr>
          <w:color w:val="1E1E1E"/>
          <w:sz w:val="22"/>
          <w:szCs w:val="22"/>
          <w:shd w:val="clear" w:color="auto" w:fill="FFFFFF"/>
        </w:rPr>
        <w:tab/>
        <w:t xml:space="preserve">We will ensure this policy is applied </w:t>
      </w:r>
      <w:r w:rsidR="00966E57" w:rsidRPr="00A96B30">
        <w:rPr>
          <w:color w:val="1E1E1E"/>
          <w:sz w:val="22"/>
          <w:szCs w:val="22"/>
          <w:shd w:val="clear" w:color="auto" w:fill="FFFFFF"/>
        </w:rPr>
        <w:t>consistently</w:t>
      </w:r>
      <w:r w:rsidRPr="00A96B30">
        <w:rPr>
          <w:color w:val="1E1E1E"/>
          <w:sz w:val="22"/>
          <w:szCs w:val="22"/>
          <w:shd w:val="clear" w:color="auto" w:fill="FFFFFF"/>
        </w:rPr>
        <w:t xml:space="preserve"> to leaseholders, in line with our Diversity and Inclusion policy and the Equality Act 2010. </w:t>
      </w:r>
    </w:p>
    <w:p w14:paraId="731DCFDE" w14:textId="77777777" w:rsidR="00195A9B" w:rsidRPr="00A96B30" w:rsidRDefault="00195A9B" w:rsidP="0005212D">
      <w:pPr>
        <w:tabs>
          <w:tab w:val="left" w:pos="720"/>
          <w:tab w:val="left" w:pos="1440"/>
        </w:tabs>
        <w:ind w:left="720" w:hanging="720"/>
        <w:jc w:val="left"/>
        <w:rPr>
          <w:sz w:val="22"/>
          <w:szCs w:val="22"/>
        </w:rPr>
      </w:pPr>
    </w:p>
    <w:p w14:paraId="3D571118" w14:textId="1BF260B4" w:rsidR="0005212D" w:rsidRPr="00A96B30" w:rsidRDefault="00AB622F" w:rsidP="0005212D">
      <w:pPr>
        <w:tabs>
          <w:tab w:val="left" w:pos="720"/>
          <w:tab w:val="left" w:pos="1440"/>
        </w:tabs>
        <w:ind w:left="720" w:hanging="720"/>
        <w:jc w:val="left"/>
        <w:rPr>
          <w:sz w:val="22"/>
          <w:szCs w:val="22"/>
        </w:rPr>
      </w:pPr>
      <w:r w:rsidRPr="00A96B30">
        <w:rPr>
          <w:b/>
          <w:sz w:val="22"/>
          <w:szCs w:val="22"/>
        </w:rPr>
        <w:t>9</w:t>
      </w:r>
      <w:r w:rsidR="0005212D" w:rsidRPr="00A96B30">
        <w:rPr>
          <w:b/>
          <w:sz w:val="22"/>
          <w:szCs w:val="22"/>
        </w:rPr>
        <w:tab/>
        <w:t xml:space="preserve">List of </w:t>
      </w:r>
      <w:r w:rsidR="002D4421">
        <w:rPr>
          <w:b/>
          <w:sz w:val="22"/>
          <w:szCs w:val="22"/>
        </w:rPr>
        <w:t>R</w:t>
      </w:r>
      <w:r w:rsidR="0005212D" w:rsidRPr="00A96B30">
        <w:rPr>
          <w:b/>
          <w:sz w:val="22"/>
          <w:szCs w:val="22"/>
        </w:rPr>
        <w:t xml:space="preserve">elated </w:t>
      </w:r>
      <w:r w:rsidR="002D4421">
        <w:rPr>
          <w:b/>
          <w:sz w:val="22"/>
          <w:szCs w:val="22"/>
        </w:rPr>
        <w:t>I</w:t>
      </w:r>
      <w:r w:rsidR="0005212D" w:rsidRPr="00A96B30">
        <w:rPr>
          <w:b/>
          <w:sz w:val="22"/>
          <w:szCs w:val="22"/>
        </w:rPr>
        <w:t xml:space="preserve">nternal </w:t>
      </w:r>
      <w:r w:rsidR="002D4421">
        <w:rPr>
          <w:b/>
          <w:sz w:val="22"/>
          <w:szCs w:val="22"/>
        </w:rPr>
        <w:t>D</w:t>
      </w:r>
      <w:r w:rsidR="0005212D" w:rsidRPr="00A96B30">
        <w:rPr>
          <w:b/>
          <w:sz w:val="22"/>
          <w:szCs w:val="22"/>
        </w:rPr>
        <w:t>ocuments (including procedures relating to the Policy</w:t>
      </w:r>
      <w:r w:rsidR="0005212D" w:rsidRPr="00A96B30">
        <w:rPr>
          <w:sz w:val="22"/>
          <w:szCs w:val="22"/>
        </w:rPr>
        <w:t>)</w:t>
      </w:r>
    </w:p>
    <w:p w14:paraId="50378C00" w14:textId="77777777" w:rsidR="0005212D" w:rsidRPr="00A96B30" w:rsidRDefault="0005212D" w:rsidP="0005212D">
      <w:pPr>
        <w:tabs>
          <w:tab w:val="left" w:pos="720"/>
          <w:tab w:val="left" w:pos="1440"/>
        </w:tabs>
        <w:ind w:left="720" w:hanging="720"/>
        <w:jc w:val="left"/>
        <w:rPr>
          <w:sz w:val="22"/>
          <w:szCs w:val="22"/>
        </w:rPr>
      </w:pPr>
    </w:p>
    <w:p w14:paraId="67E7E1CF" w14:textId="77777777" w:rsidR="00CF2164" w:rsidRPr="00A96B30" w:rsidRDefault="00CF2164" w:rsidP="002D4421">
      <w:pPr>
        <w:tabs>
          <w:tab w:val="left" w:pos="720"/>
          <w:tab w:val="left" w:pos="1440"/>
        </w:tabs>
        <w:ind w:left="720" w:hanging="11"/>
        <w:jc w:val="left"/>
        <w:rPr>
          <w:sz w:val="22"/>
          <w:szCs w:val="22"/>
        </w:rPr>
      </w:pPr>
      <w:r w:rsidRPr="00A96B30">
        <w:rPr>
          <w:sz w:val="22"/>
          <w:szCs w:val="22"/>
        </w:rPr>
        <w:t>P020 – Leasehold Management Procedure</w:t>
      </w:r>
    </w:p>
    <w:p w14:paraId="7E02C45F" w14:textId="28EC1A3E" w:rsidR="0005212D" w:rsidRPr="00A96B30" w:rsidRDefault="00CF2164" w:rsidP="002D4421">
      <w:pPr>
        <w:tabs>
          <w:tab w:val="left" w:pos="720"/>
          <w:tab w:val="left" w:pos="1440"/>
        </w:tabs>
        <w:ind w:left="720" w:hanging="11"/>
        <w:jc w:val="left"/>
        <w:rPr>
          <w:sz w:val="22"/>
          <w:szCs w:val="22"/>
        </w:rPr>
      </w:pPr>
      <w:r w:rsidRPr="00A96B30">
        <w:rPr>
          <w:sz w:val="22"/>
          <w:szCs w:val="22"/>
        </w:rPr>
        <w:t xml:space="preserve">P023 </w:t>
      </w:r>
      <w:r w:rsidR="002D4421">
        <w:rPr>
          <w:sz w:val="22"/>
          <w:szCs w:val="22"/>
        </w:rPr>
        <w:t xml:space="preserve">- </w:t>
      </w:r>
      <w:r w:rsidRPr="00A96B30">
        <w:rPr>
          <w:sz w:val="22"/>
          <w:szCs w:val="22"/>
        </w:rPr>
        <w:t>Shared Ownership Procedure</w:t>
      </w:r>
    </w:p>
    <w:p w14:paraId="1D15CFC5" w14:textId="48D0307E" w:rsidR="00195A9B" w:rsidRPr="00A96B30" w:rsidRDefault="006168A0" w:rsidP="002D4421">
      <w:pPr>
        <w:tabs>
          <w:tab w:val="left" w:pos="720"/>
          <w:tab w:val="left" w:pos="1440"/>
        </w:tabs>
        <w:ind w:left="720" w:hanging="11"/>
        <w:jc w:val="left"/>
        <w:rPr>
          <w:sz w:val="22"/>
          <w:szCs w:val="22"/>
        </w:rPr>
      </w:pPr>
      <w:r w:rsidRPr="00A96B30">
        <w:rPr>
          <w:sz w:val="22"/>
          <w:szCs w:val="22"/>
        </w:rPr>
        <w:t xml:space="preserve">HS001 - </w:t>
      </w:r>
      <w:r w:rsidR="00195A9B" w:rsidRPr="00A96B30">
        <w:rPr>
          <w:sz w:val="22"/>
          <w:szCs w:val="22"/>
        </w:rPr>
        <w:t>Complaints Policy and procedure</w:t>
      </w:r>
    </w:p>
    <w:p w14:paraId="5D20BE43" w14:textId="1A9D02A2" w:rsidR="00195A9B" w:rsidRPr="00A96B30" w:rsidRDefault="006168A0" w:rsidP="002D4421">
      <w:pPr>
        <w:tabs>
          <w:tab w:val="left" w:pos="720"/>
          <w:tab w:val="left" w:pos="1440"/>
        </w:tabs>
        <w:ind w:left="720" w:hanging="11"/>
        <w:jc w:val="left"/>
        <w:rPr>
          <w:sz w:val="22"/>
          <w:szCs w:val="22"/>
        </w:rPr>
      </w:pPr>
      <w:r w:rsidRPr="00A96B30">
        <w:rPr>
          <w:sz w:val="22"/>
          <w:szCs w:val="22"/>
        </w:rPr>
        <w:t>HS007 - Income Collection and Debt Recovery</w:t>
      </w:r>
    </w:p>
    <w:p w14:paraId="4B3471B0" w14:textId="77777777" w:rsidR="00BA7D46" w:rsidRPr="00244D99" w:rsidRDefault="00BA7D46" w:rsidP="005975D4">
      <w:pPr>
        <w:tabs>
          <w:tab w:val="left" w:pos="720"/>
          <w:tab w:val="left" w:pos="1440"/>
        </w:tabs>
        <w:ind w:left="720" w:hanging="720"/>
        <w:jc w:val="left"/>
      </w:pPr>
    </w:p>
    <w:sectPr w:rsidR="00BA7D46" w:rsidRPr="00244D99" w:rsidSect="005975D4">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E5162" w14:textId="77777777" w:rsidR="00FA35FC" w:rsidRDefault="00FA35FC">
      <w:r>
        <w:separator/>
      </w:r>
    </w:p>
  </w:endnote>
  <w:endnote w:type="continuationSeparator" w:id="0">
    <w:p w14:paraId="521C02CA" w14:textId="77777777" w:rsidR="00FA35FC" w:rsidRDefault="00FA35FC">
      <w:r>
        <w:continuationSeparator/>
      </w:r>
    </w:p>
  </w:endnote>
  <w:endnote w:type="continuationNotice" w:id="1">
    <w:p w14:paraId="029ABF5A" w14:textId="77777777" w:rsidR="00FA35FC" w:rsidRDefault="00FA35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2D954" w14:textId="77777777" w:rsidR="00E05C2C" w:rsidRDefault="00E05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060C8" w14:textId="77777777" w:rsidR="0067442B" w:rsidRPr="005975D4" w:rsidRDefault="0067442B" w:rsidP="00244D99">
    <w:pPr>
      <w:pStyle w:val="Footer"/>
      <w:jc w:val="left"/>
      <w:rPr>
        <w:sz w:val="20"/>
      </w:rPr>
    </w:pPr>
    <w:r w:rsidRPr="005975D4">
      <w:rPr>
        <w:sz w:val="20"/>
      </w:rPr>
      <w:tab/>
      <w:t xml:space="preserve">Page </w:t>
    </w:r>
    <w:r w:rsidRPr="005975D4">
      <w:rPr>
        <w:rStyle w:val="PageNumber"/>
        <w:sz w:val="20"/>
      </w:rPr>
      <w:fldChar w:fldCharType="begin"/>
    </w:r>
    <w:r w:rsidRPr="00882886">
      <w:rPr>
        <w:sz w:val="16"/>
        <w:szCs w:val="16"/>
      </w:rPr>
      <w:instrText xml:space="preserve"> PAGE </w:instrText>
    </w:r>
    <w:r w:rsidRPr="005975D4">
      <w:rPr>
        <w:rStyle w:val="PageNumber"/>
        <w:sz w:val="20"/>
      </w:rPr>
      <w:fldChar w:fldCharType="separate"/>
    </w:r>
    <w:r w:rsidR="004E2276">
      <w:rPr>
        <w:noProof/>
        <w:sz w:val="16"/>
        <w:szCs w:val="16"/>
      </w:rPr>
      <w:t>1</w:t>
    </w:r>
    <w:r w:rsidRPr="005975D4">
      <w:rPr>
        <w:rStyle w:val="PageNumber"/>
        <w:sz w:val="20"/>
      </w:rPr>
      <w:fldChar w:fldCharType="end"/>
    </w:r>
    <w:r w:rsidRPr="005975D4">
      <w:rPr>
        <w:rStyle w:val="PageNumber"/>
        <w:sz w:val="20"/>
      </w:rPr>
      <w:t xml:space="preserve"> of </w:t>
    </w:r>
    <w:r w:rsidRPr="005975D4">
      <w:rPr>
        <w:rStyle w:val="PageNumber"/>
        <w:sz w:val="20"/>
      </w:rPr>
      <w:fldChar w:fldCharType="begin"/>
    </w:r>
    <w:r w:rsidRPr="00882886">
      <w:rPr>
        <w:sz w:val="16"/>
        <w:szCs w:val="16"/>
      </w:rPr>
      <w:instrText xml:space="preserve"> NUMPAGES </w:instrText>
    </w:r>
    <w:r w:rsidRPr="005975D4">
      <w:rPr>
        <w:rStyle w:val="PageNumber"/>
        <w:sz w:val="20"/>
      </w:rPr>
      <w:fldChar w:fldCharType="separate"/>
    </w:r>
    <w:r w:rsidR="004E2276">
      <w:rPr>
        <w:noProof/>
        <w:sz w:val="16"/>
        <w:szCs w:val="16"/>
      </w:rPr>
      <w:t>3</w:t>
    </w:r>
    <w:r w:rsidRPr="005975D4">
      <w:rPr>
        <w:rStyle w:val="PageNumber"/>
        <w:sz w:val="20"/>
      </w:rPr>
      <w:fldChar w:fldCharType="end"/>
    </w:r>
    <w:r w:rsidR="006A11FB">
      <w:rPr>
        <w:rStyle w:val="PageNumber"/>
        <w:sz w:val="20"/>
        <w:szCs w:val="20"/>
      </w:rPr>
      <w:tab/>
    </w:r>
    <w:r w:rsidR="00D06C2F">
      <w:rPr>
        <w:rStyle w:val="PageNumber"/>
        <w:sz w:val="20"/>
        <w:szCs w:val="20"/>
      </w:rPr>
      <w:t>HS 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0A23C" w14:textId="77777777" w:rsidR="00E05C2C" w:rsidRDefault="00E05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F29B6" w14:textId="77777777" w:rsidR="00FA35FC" w:rsidRDefault="00FA35FC">
      <w:r>
        <w:separator/>
      </w:r>
    </w:p>
  </w:footnote>
  <w:footnote w:type="continuationSeparator" w:id="0">
    <w:p w14:paraId="427BFB96" w14:textId="77777777" w:rsidR="00FA35FC" w:rsidRDefault="00FA35FC">
      <w:r>
        <w:continuationSeparator/>
      </w:r>
    </w:p>
  </w:footnote>
  <w:footnote w:type="continuationNotice" w:id="1">
    <w:p w14:paraId="341FBBCC" w14:textId="77777777" w:rsidR="00FA35FC" w:rsidRDefault="00FA35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F3931" w14:textId="77777777" w:rsidR="00E05C2C" w:rsidRDefault="00E05C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2D2CF" w14:textId="6108E7C7" w:rsidR="00244D99" w:rsidRDefault="00244D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02347" w14:textId="77777777" w:rsidR="00E05C2C" w:rsidRDefault="00E05C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image001"/>
      </v:shape>
    </w:pict>
  </w:numPicBullet>
  <w:numPicBullet w:numPicBulletId="1">
    <w:pict>
      <v:shape id="_x0000_i1027" type="#_x0000_t75" style="width:7.5pt;height:7.5pt" o:bullet="t">
        <v:imagedata r:id="rId2" o:title="image002"/>
      </v:shape>
    </w:pict>
  </w:numPicBullet>
  <w:numPicBullet w:numPicBulletId="2">
    <w:pict>
      <v:shape id="_x0000_i1028" type="#_x0000_t75" style="width:7.5pt;height:7.5pt" o:bullet="t">
        <v:imagedata r:id="rId3" o:title="image003"/>
      </v:shape>
    </w:pict>
  </w:numPicBullet>
  <w:abstractNum w:abstractNumId="0" w15:restartNumberingAfterBreak="0">
    <w:nsid w:val="02274C4B"/>
    <w:multiLevelType w:val="multilevel"/>
    <w:tmpl w:val="230AB9DA"/>
    <w:lvl w:ilvl="0">
      <w:start w:val="4"/>
      <w:numFmt w:val="decimal"/>
      <w:lvlText w:val="%1"/>
      <w:lvlJc w:val="left"/>
      <w:pPr>
        <w:tabs>
          <w:tab w:val="num" w:pos="360"/>
        </w:tabs>
        <w:ind w:left="360" w:hanging="360"/>
      </w:pPr>
      <w:rPr>
        <w:rFonts w:hint="default"/>
      </w:rPr>
    </w:lvl>
    <w:lvl w:ilvl="1">
      <w:start w:val="2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53321AE"/>
    <w:multiLevelType w:val="multilevel"/>
    <w:tmpl w:val="7264F8BE"/>
    <w:lvl w:ilvl="0">
      <w:start w:val="4"/>
      <w:numFmt w:val="decimal"/>
      <w:lvlText w:val="%1"/>
      <w:lvlJc w:val="left"/>
      <w:pPr>
        <w:tabs>
          <w:tab w:val="num" w:pos="720"/>
        </w:tabs>
        <w:ind w:left="720" w:hanging="720"/>
      </w:pPr>
      <w:rPr>
        <w:rFonts w:hint="default"/>
      </w:rPr>
    </w:lvl>
    <w:lvl w:ilvl="1">
      <w:start w:val="4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6AE00EE"/>
    <w:multiLevelType w:val="hybridMultilevel"/>
    <w:tmpl w:val="909292DE"/>
    <w:lvl w:ilvl="0" w:tplc="9864A92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202"/>
    <w:multiLevelType w:val="multilevel"/>
    <w:tmpl w:val="B0B8385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41395E"/>
    <w:multiLevelType w:val="multilevel"/>
    <w:tmpl w:val="FDA8C87A"/>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4A3B50"/>
    <w:multiLevelType w:val="hybridMultilevel"/>
    <w:tmpl w:val="CEAC4CD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DD97CE8"/>
    <w:multiLevelType w:val="multilevel"/>
    <w:tmpl w:val="165E830E"/>
    <w:lvl w:ilvl="0">
      <w:start w:val="4"/>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F8C32D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2975BF7"/>
    <w:multiLevelType w:val="hybridMultilevel"/>
    <w:tmpl w:val="CF6CE022"/>
    <w:lvl w:ilvl="0" w:tplc="9864A92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233FB2"/>
    <w:multiLevelType w:val="hybridMultilevel"/>
    <w:tmpl w:val="7BFC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E17300"/>
    <w:multiLevelType w:val="multilevel"/>
    <w:tmpl w:val="3B36151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B066D51"/>
    <w:multiLevelType w:val="multilevel"/>
    <w:tmpl w:val="3B36151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B094E09"/>
    <w:multiLevelType w:val="hybridMultilevel"/>
    <w:tmpl w:val="EB04BF82"/>
    <w:lvl w:ilvl="0" w:tplc="9864A92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D8522C"/>
    <w:multiLevelType w:val="hybridMultilevel"/>
    <w:tmpl w:val="FB8006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FE123C1"/>
    <w:multiLevelType w:val="multilevel"/>
    <w:tmpl w:val="0809001D"/>
    <w:styleLink w:val="Style1"/>
    <w:lvl w:ilvl="0">
      <w:start w:val="1"/>
      <w:numFmt w:val="decimal"/>
      <w:lvlText w:val="%1)"/>
      <w:lvlJc w:val="left"/>
      <w:pPr>
        <w:ind w:left="360" w:hanging="360"/>
      </w:pPr>
      <w:rPr>
        <w:rFonts w:ascii="Trebuchet MS" w:hAnsi="Trebuchet MS"/>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1101898"/>
    <w:multiLevelType w:val="hybridMultilevel"/>
    <w:tmpl w:val="845053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1363AB9"/>
    <w:multiLevelType w:val="hybridMultilevel"/>
    <w:tmpl w:val="0DACF5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0732B4"/>
    <w:multiLevelType w:val="hybridMultilevel"/>
    <w:tmpl w:val="A4A4D3E0"/>
    <w:lvl w:ilvl="0" w:tplc="9864A92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C937C6"/>
    <w:multiLevelType w:val="hybridMultilevel"/>
    <w:tmpl w:val="DD906C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26541BDF"/>
    <w:multiLevelType w:val="hybridMultilevel"/>
    <w:tmpl w:val="0430F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040470"/>
    <w:multiLevelType w:val="hybridMultilevel"/>
    <w:tmpl w:val="BF0490B8"/>
    <w:lvl w:ilvl="0" w:tplc="9864A92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08488B"/>
    <w:multiLevelType w:val="hybridMultilevel"/>
    <w:tmpl w:val="786ADFA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DFF454E"/>
    <w:multiLevelType w:val="hybridMultilevel"/>
    <w:tmpl w:val="F13E5D0E"/>
    <w:lvl w:ilvl="0" w:tplc="9864A92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C1423D"/>
    <w:multiLevelType w:val="hybridMultilevel"/>
    <w:tmpl w:val="C2B65B8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6B4654C"/>
    <w:multiLevelType w:val="hybridMultilevel"/>
    <w:tmpl w:val="3948F3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7223F44"/>
    <w:multiLevelType w:val="hybridMultilevel"/>
    <w:tmpl w:val="8962DAF4"/>
    <w:lvl w:ilvl="0" w:tplc="9864A92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500811"/>
    <w:multiLevelType w:val="hybridMultilevel"/>
    <w:tmpl w:val="6358B38A"/>
    <w:lvl w:ilvl="0" w:tplc="9864A92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2E5686"/>
    <w:multiLevelType w:val="hybridMultilevel"/>
    <w:tmpl w:val="582AC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1A355CB"/>
    <w:multiLevelType w:val="hybridMultilevel"/>
    <w:tmpl w:val="3B36151A"/>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4070B97"/>
    <w:multiLevelType w:val="multilevel"/>
    <w:tmpl w:val="941A3F98"/>
    <w:lvl w:ilvl="0">
      <w:start w:val="4"/>
      <w:numFmt w:val="decimal"/>
      <w:lvlText w:val="%1"/>
      <w:lvlJc w:val="left"/>
      <w:pPr>
        <w:tabs>
          <w:tab w:val="num" w:pos="360"/>
        </w:tabs>
        <w:ind w:left="360" w:hanging="360"/>
      </w:pPr>
      <w:rPr>
        <w:rFonts w:hint="default"/>
      </w:rPr>
    </w:lvl>
    <w:lvl w:ilvl="1">
      <w:start w:val="4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4DB4937"/>
    <w:multiLevelType w:val="hybridMultilevel"/>
    <w:tmpl w:val="149036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457A2A8C"/>
    <w:multiLevelType w:val="hybridMultilevel"/>
    <w:tmpl w:val="FA7E34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377DA1"/>
    <w:multiLevelType w:val="hybridMultilevel"/>
    <w:tmpl w:val="DCDEF0F6"/>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9087531"/>
    <w:multiLevelType w:val="multilevel"/>
    <w:tmpl w:val="3B36151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D6E4A6F"/>
    <w:multiLevelType w:val="hybridMultilevel"/>
    <w:tmpl w:val="A536875C"/>
    <w:lvl w:ilvl="0" w:tplc="9864A92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5024319B"/>
    <w:multiLevelType w:val="multilevel"/>
    <w:tmpl w:val="6358B38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520DA9"/>
    <w:multiLevelType w:val="multilevel"/>
    <w:tmpl w:val="6358B38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A700C1"/>
    <w:multiLevelType w:val="hybridMultilevel"/>
    <w:tmpl w:val="30268FAC"/>
    <w:lvl w:ilvl="0" w:tplc="9864A92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087057"/>
    <w:multiLevelType w:val="hybridMultilevel"/>
    <w:tmpl w:val="ED568F24"/>
    <w:lvl w:ilvl="0" w:tplc="A4609F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CCE0354"/>
    <w:multiLevelType w:val="multilevel"/>
    <w:tmpl w:val="CF8CE12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6EF3AA8"/>
    <w:multiLevelType w:val="hybridMultilevel"/>
    <w:tmpl w:val="E04080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69733F62"/>
    <w:multiLevelType w:val="multilevel"/>
    <w:tmpl w:val="165E830E"/>
    <w:lvl w:ilvl="0">
      <w:start w:val="4"/>
      <w:numFmt w:val="decimal"/>
      <w:lvlText w:val="%1"/>
      <w:lvlJc w:val="left"/>
      <w:pPr>
        <w:tabs>
          <w:tab w:val="num" w:pos="360"/>
        </w:tabs>
        <w:ind w:left="360" w:hanging="360"/>
      </w:pPr>
      <w:rPr>
        <w:rFonts w:hint="default"/>
      </w:rPr>
    </w:lvl>
    <w:lvl w:ilvl="1">
      <w:start w:val="8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B254539"/>
    <w:multiLevelType w:val="multilevel"/>
    <w:tmpl w:val="A6DCEBFC"/>
    <w:lvl w:ilvl="0">
      <w:start w:val="4"/>
      <w:numFmt w:val="decimal"/>
      <w:lvlText w:val="%1"/>
      <w:lvlJc w:val="left"/>
      <w:pPr>
        <w:tabs>
          <w:tab w:val="num" w:pos="360"/>
        </w:tabs>
        <w:ind w:left="360" w:hanging="360"/>
      </w:pPr>
      <w:rPr>
        <w:rFonts w:hint="default"/>
      </w:rPr>
    </w:lvl>
    <w:lvl w:ilvl="1">
      <w:start w:val="3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6B4B5B61"/>
    <w:multiLevelType w:val="hybridMultilevel"/>
    <w:tmpl w:val="D19AA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A1323A"/>
    <w:multiLevelType w:val="hybridMultilevel"/>
    <w:tmpl w:val="43BCD0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D810383"/>
    <w:multiLevelType w:val="multilevel"/>
    <w:tmpl w:val="C5969DD6"/>
    <w:lvl w:ilvl="0">
      <w:start w:val="4"/>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7E321A26"/>
    <w:multiLevelType w:val="multilevel"/>
    <w:tmpl w:val="BBBA404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6"/>
  </w:num>
  <w:num w:numId="2">
    <w:abstractNumId w:val="17"/>
  </w:num>
  <w:num w:numId="3">
    <w:abstractNumId w:val="8"/>
  </w:num>
  <w:num w:numId="4">
    <w:abstractNumId w:val="2"/>
  </w:num>
  <w:num w:numId="5">
    <w:abstractNumId w:val="22"/>
  </w:num>
  <w:num w:numId="6">
    <w:abstractNumId w:val="37"/>
  </w:num>
  <w:num w:numId="7">
    <w:abstractNumId w:val="12"/>
  </w:num>
  <w:num w:numId="8">
    <w:abstractNumId w:val="34"/>
  </w:num>
  <w:num w:numId="9">
    <w:abstractNumId w:val="25"/>
  </w:num>
  <w:num w:numId="10">
    <w:abstractNumId w:val="20"/>
  </w:num>
  <w:num w:numId="11">
    <w:abstractNumId w:val="39"/>
  </w:num>
  <w:num w:numId="12">
    <w:abstractNumId w:val="4"/>
  </w:num>
  <w:num w:numId="13">
    <w:abstractNumId w:val="6"/>
  </w:num>
  <w:num w:numId="14">
    <w:abstractNumId w:val="28"/>
  </w:num>
  <w:num w:numId="15">
    <w:abstractNumId w:val="35"/>
  </w:num>
  <w:num w:numId="16">
    <w:abstractNumId w:val="10"/>
  </w:num>
  <w:num w:numId="17">
    <w:abstractNumId w:val="21"/>
  </w:num>
  <w:num w:numId="18">
    <w:abstractNumId w:val="33"/>
  </w:num>
  <w:num w:numId="19">
    <w:abstractNumId w:val="23"/>
  </w:num>
  <w:num w:numId="20">
    <w:abstractNumId w:val="11"/>
  </w:num>
  <w:num w:numId="21">
    <w:abstractNumId w:val="5"/>
  </w:num>
  <w:num w:numId="22">
    <w:abstractNumId w:val="0"/>
  </w:num>
  <w:num w:numId="23">
    <w:abstractNumId w:val="7"/>
  </w:num>
  <w:num w:numId="24">
    <w:abstractNumId w:val="36"/>
  </w:num>
  <w:num w:numId="25">
    <w:abstractNumId w:val="31"/>
  </w:num>
  <w:num w:numId="26">
    <w:abstractNumId w:val="41"/>
  </w:num>
  <w:num w:numId="27">
    <w:abstractNumId w:val="46"/>
  </w:num>
  <w:num w:numId="28">
    <w:abstractNumId w:val="16"/>
  </w:num>
  <w:num w:numId="29">
    <w:abstractNumId w:val="45"/>
  </w:num>
  <w:num w:numId="30">
    <w:abstractNumId w:val="1"/>
  </w:num>
  <w:num w:numId="31">
    <w:abstractNumId w:val="29"/>
  </w:num>
  <w:num w:numId="32">
    <w:abstractNumId w:val="42"/>
  </w:num>
  <w:num w:numId="33">
    <w:abstractNumId w:val="14"/>
  </w:num>
  <w:num w:numId="34">
    <w:abstractNumId w:val="44"/>
  </w:num>
  <w:num w:numId="35">
    <w:abstractNumId w:val="13"/>
  </w:num>
  <w:num w:numId="36">
    <w:abstractNumId w:val="24"/>
  </w:num>
  <w:num w:numId="37">
    <w:abstractNumId w:val="38"/>
  </w:num>
  <w:num w:numId="38">
    <w:abstractNumId w:val="9"/>
  </w:num>
  <w:num w:numId="39">
    <w:abstractNumId w:val="15"/>
  </w:num>
  <w:num w:numId="40">
    <w:abstractNumId w:val="32"/>
  </w:num>
  <w:num w:numId="41">
    <w:abstractNumId w:val="43"/>
  </w:num>
  <w:num w:numId="42">
    <w:abstractNumId w:val="40"/>
  </w:num>
  <w:num w:numId="43">
    <w:abstractNumId w:val="30"/>
  </w:num>
  <w:num w:numId="44">
    <w:abstractNumId w:val="18"/>
  </w:num>
  <w:num w:numId="45">
    <w:abstractNumId w:val="19"/>
  </w:num>
  <w:num w:numId="46">
    <w:abstractNumId w:val="27"/>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2D8"/>
    <w:rsid w:val="000018A3"/>
    <w:rsid w:val="00006F67"/>
    <w:rsid w:val="00010542"/>
    <w:rsid w:val="00024D30"/>
    <w:rsid w:val="0002708A"/>
    <w:rsid w:val="00032709"/>
    <w:rsid w:val="0003310D"/>
    <w:rsid w:val="00036AAB"/>
    <w:rsid w:val="0005212D"/>
    <w:rsid w:val="00052265"/>
    <w:rsid w:val="00064D32"/>
    <w:rsid w:val="000773AC"/>
    <w:rsid w:val="0008149B"/>
    <w:rsid w:val="000A7E75"/>
    <w:rsid w:val="000B14E6"/>
    <w:rsid w:val="000C78A6"/>
    <w:rsid w:val="000E5162"/>
    <w:rsid w:val="000F6411"/>
    <w:rsid w:val="000F683D"/>
    <w:rsid w:val="000F783F"/>
    <w:rsid w:val="00121C9E"/>
    <w:rsid w:val="00121FB1"/>
    <w:rsid w:val="00123329"/>
    <w:rsid w:val="00127918"/>
    <w:rsid w:val="001305DE"/>
    <w:rsid w:val="00135F0C"/>
    <w:rsid w:val="00141D3A"/>
    <w:rsid w:val="0014712D"/>
    <w:rsid w:val="00156CA9"/>
    <w:rsid w:val="00164BE1"/>
    <w:rsid w:val="00166EEA"/>
    <w:rsid w:val="00170B10"/>
    <w:rsid w:val="00173848"/>
    <w:rsid w:val="00176B94"/>
    <w:rsid w:val="0018031C"/>
    <w:rsid w:val="00182A92"/>
    <w:rsid w:val="00183C22"/>
    <w:rsid w:val="00190565"/>
    <w:rsid w:val="00192A1A"/>
    <w:rsid w:val="00195A9B"/>
    <w:rsid w:val="001A2948"/>
    <w:rsid w:val="001A5B60"/>
    <w:rsid w:val="001B1B3F"/>
    <w:rsid w:val="001C6F40"/>
    <w:rsid w:val="001D468E"/>
    <w:rsid w:val="001F0D74"/>
    <w:rsid w:val="001F110B"/>
    <w:rsid w:val="001F4D41"/>
    <w:rsid w:val="001F5279"/>
    <w:rsid w:val="0020355E"/>
    <w:rsid w:val="00215898"/>
    <w:rsid w:val="00216DFD"/>
    <w:rsid w:val="00222443"/>
    <w:rsid w:val="00222C2B"/>
    <w:rsid w:val="0023205A"/>
    <w:rsid w:val="00233864"/>
    <w:rsid w:val="00235195"/>
    <w:rsid w:val="00236E68"/>
    <w:rsid w:val="00241D17"/>
    <w:rsid w:val="00244D99"/>
    <w:rsid w:val="00245E09"/>
    <w:rsid w:val="002460E7"/>
    <w:rsid w:val="00260186"/>
    <w:rsid w:val="002624C3"/>
    <w:rsid w:val="00264DF5"/>
    <w:rsid w:val="00275C9F"/>
    <w:rsid w:val="0028094F"/>
    <w:rsid w:val="00290C8E"/>
    <w:rsid w:val="00295390"/>
    <w:rsid w:val="00297B76"/>
    <w:rsid w:val="00297C0D"/>
    <w:rsid w:val="002A2B07"/>
    <w:rsid w:val="002A63CB"/>
    <w:rsid w:val="002A7AE5"/>
    <w:rsid w:val="002B102B"/>
    <w:rsid w:val="002B5292"/>
    <w:rsid w:val="002C1986"/>
    <w:rsid w:val="002C3CC3"/>
    <w:rsid w:val="002D0A8A"/>
    <w:rsid w:val="002D34AD"/>
    <w:rsid w:val="002D4421"/>
    <w:rsid w:val="002E05E7"/>
    <w:rsid w:val="00302A52"/>
    <w:rsid w:val="00310EDC"/>
    <w:rsid w:val="00311120"/>
    <w:rsid w:val="003113E5"/>
    <w:rsid w:val="0032049A"/>
    <w:rsid w:val="00335B73"/>
    <w:rsid w:val="003425CB"/>
    <w:rsid w:val="00346848"/>
    <w:rsid w:val="00347E38"/>
    <w:rsid w:val="00350775"/>
    <w:rsid w:val="003526CD"/>
    <w:rsid w:val="003532AA"/>
    <w:rsid w:val="003536FA"/>
    <w:rsid w:val="003613D3"/>
    <w:rsid w:val="003638CD"/>
    <w:rsid w:val="00366DD3"/>
    <w:rsid w:val="003723EE"/>
    <w:rsid w:val="00384AC4"/>
    <w:rsid w:val="00390D29"/>
    <w:rsid w:val="0039431A"/>
    <w:rsid w:val="003943EF"/>
    <w:rsid w:val="00397767"/>
    <w:rsid w:val="003A7ADA"/>
    <w:rsid w:val="003B3083"/>
    <w:rsid w:val="003D150C"/>
    <w:rsid w:val="003D5618"/>
    <w:rsid w:val="003D7FDB"/>
    <w:rsid w:val="003F0C31"/>
    <w:rsid w:val="004026B0"/>
    <w:rsid w:val="0040757E"/>
    <w:rsid w:val="00413790"/>
    <w:rsid w:val="004162D9"/>
    <w:rsid w:val="00420704"/>
    <w:rsid w:val="0042306F"/>
    <w:rsid w:val="00426033"/>
    <w:rsid w:val="004330FF"/>
    <w:rsid w:val="00453FCB"/>
    <w:rsid w:val="004541A5"/>
    <w:rsid w:val="0045567A"/>
    <w:rsid w:val="00455CF5"/>
    <w:rsid w:val="004579A1"/>
    <w:rsid w:val="00461624"/>
    <w:rsid w:val="00463F62"/>
    <w:rsid w:val="00471BA8"/>
    <w:rsid w:val="00473D91"/>
    <w:rsid w:val="00475301"/>
    <w:rsid w:val="00477B94"/>
    <w:rsid w:val="004A3389"/>
    <w:rsid w:val="004A368A"/>
    <w:rsid w:val="004C64D4"/>
    <w:rsid w:val="004C6856"/>
    <w:rsid w:val="004D0B73"/>
    <w:rsid w:val="004E2276"/>
    <w:rsid w:val="005059AD"/>
    <w:rsid w:val="005063CB"/>
    <w:rsid w:val="00507382"/>
    <w:rsid w:val="00507DB8"/>
    <w:rsid w:val="00510B27"/>
    <w:rsid w:val="00516AE3"/>
    <w:rsid w:val="005170D5"/>
    <w:rsid w:val="00520C44"/>
    <w:rsid w:val="00521A92"/>
    <w:rsid w:val="00522CB5"/>
    <w:rsid w:val="00524D6B"/>
    <w:rsid w:val="005314A6"/>
    <w:rsid w:val="005315E5"/>
    <w:rsid w:val="00533B14"/>
    <w:rsid w:val="00543739"/>
    <w:rsid w:val="005506A8"/>
    <w:rsid w:val="00553AB5"/>
    <w:rsid w:val="005566C8"/>
    <w:rsid w:val="00564EB5"/>
    <w:rsid w:val="00576894"/>
    <w:rsid w:val="0058496A"/>
    <w:rsid w:val="005964C9"/>
    <w:rsid w:val="005975D4"/>
    <w:rsid w:val="0059784A"/>
    <w:rsid w:val="005A5E41"/>
    <w:rsid w:val="005B1140"/>
    <w:rsid w:val="005C1186"/>
    <w:rsid w:val="005C6444"/>
    <w:rsid w:val="005D5BD8"/>
    <w:rsid w:val="005D6D04"/>
    <w:rsid w:val="005E375A"/>
    <w:rsid w:val="005F349F"/>
    <w:rsid w:val="006024E9"/>
    <w:rsid w:val="006168A0"/>
    <w:rsid w:val="006368A3"/>
    <w:rsid w:val="00651309"/>
    <w:rsid w:val="006652EA"/>
    <w:rsid w:val="00665BDC"/>
    <w:rsid w:val="00666478"/>
    <w:rsid w:val="0067442B"/>
    <w:rsid w:val="0067562B"/>
    <w:rsid w:val="00677B2B"/>
    <w:rsid w:val="006814F2"/>
    <w:rsid w:val="006817DA"/>
    <w:rsid w:val="006819E5"/>
    <w:rsid w:val="006858BE"/>
    <w:rsid w:val="006918AF"/>
    <w:rsid w:val="00691A4E"/>
    <w:rsid w:val="00691CF7"/>
    <w:rsid w:val="00693886"/>
    <w:rsid w:val="006957C1"/>
    <w:rsid w:val="006A0D66"/>
    <w:rsid w:val="006A11FB"/>
    <w:rsid w:val="006A4F58"/>
    <w:rsid w:val="006A5A0D"/>
    <w:rsid w:val="006B2329"/>
    <w:rsid w:val="006B27EA"/>
    <w:rsid w:val="006B2A6B"/>
    <w:rsid w:val="006B4570"/>
    <w:rsid w:val="006C139D"/>
    <w:rsid w:val="006C5D12"/>
    <w:rsid w:val="006C7F72"/>
    <w:rsid w:val="006D0FD3"/>
    <w:rsid w:val="006D3B98"/>
    <w:rsid w:val="006F17FB"/>
    <w:rsid w:val="00700B00"/>
    <w:rsid w:val="0070271F"/>
    <w:rsid w:val="007211F6"/>
    <w:rsid w:val="00722605"/>
    <w:rsid w:val="007367A4"/>
    <w:rsid w:val="00740CF5"/>
    <w:rsid w:val="0074730C"/>
    <w:rsid w:val="00751E88"/>
    <w:rsid w:val="007528DE"/>
    <w:rsid w:val="007531F2"/>
    <w:rsid w:val="00753D0F"/>
    <w:rsid w:val="00755D8F"/>
    <w:rsid w:val="007629C2"/>
    <w:rsid w:val="00764070"/>
    <w:rsid w:val="00777E71"/>
    <w:rsid w:val="00786ED1"/>
    <w:rsid w:val="00795ADB"/>
    <w:rsid w:val="00797A06"/>
    <w:rsid w:val="007A3209"/>
    <w:rsid w:val="007A3939"/>
    <w:rsid w:val="007A5226"/>
    <w:rsid w:val="007B32F9"/>
    <w:rsid w:val="007C2F1D"/>
    <w:rsid w:val="007D5DC5"/>
    <w:rsid w:val="007E0AE6"/>
    <w:rsid w:val="008054E5"/>
    <w:rsid w:val="0080796D"/>
    <w:rsid w:val="0081625B"/>
    <w:rsid w:val="00816A0F"/>
    <w:rsid w:val="00822907"/>
    <w:rsid w:val="00832CBE"/>
    <w:rsid w:val="00834734"/>
    <w:rsid w:val="008364DE"/>
    <w:rsid w:val="0084160F"/>
    <w:rsid w:val="00842793"/>
    <w:rsid w:val="008443EF"/>
    <w:rsid w:val="008748FD"/>
    <w:rsid w:val="008774EC"/>
    <w:rsid w:val="00881C8F"/>
    <w:rsid w:val="00882596"/>
    <w:rsid w:val="00895160"/>
    <w:rsid w:val="00895904"/>
    <w:rsid w:val="008A0E5D"/>
    <w:rsid w:val="008B24D6"/>
    <w:rsid w:val="008B583A"/>
    <w:rsid w:val="008D1C4E"/>
    <w:rsid w:val="008D1F77"/>
    <w:rsid w:val="008D2994"/>
    <w:rsid w:val="008D4A9A"/>
    <w:rsid w:val="008D4B99"/>
    <w:rsid w:val="008E1283"/>
    <w:rsid w:val="008E1FFA"/>
    <w:rsid w:val="008E2DC5"/>
    <w:rsid w:val="008E3BF5"/>
    <w:rsid w:val="008E5FDA"/>
    <w:rsid w:val="008E69B7"/>
    <w:rsid w:val="008F27E4"/>
    <w:rsid w:val="00904420"/>
    <w:rsid w:val="00904B23"/>
    <w:rsid w:val="00910916"/>
    <w:rsid w:val="00913C3F"/>
    <w:rsid w:val="00914009"/>
    <w:rsid w:val="009246B5"/>
    <w:rsid w:val="00953435"/>
    <w:rsid w:val="00954075"/>
    <w:rsid w:val="00955A9E"/>
    <w:rsid w:val="00966E57"/>
    <w:rsid w:val="00972C3F"/>
    <w:rsid w:val="00973042"/>
    <w:rsid w:val="00973722"/>
    <w:rsid w:val="009928E7"/>
    <w:rsid w:val="00995F21"/>
    <w:rsid w:val="009B72E5"/>
    <w:rsid w:val="009C4B50"/>
    <w:rsid w:val="009D4AF1"/>
    <w:rsid w:val="009E132B"/>
    <w:rsid w:val="009F1ACE"/>
    <w:rsid w:val="009F2243"/>
    <w:rsid w:val="009F2F82"/>
    <w:rsid w:val="00A01253"/>
    <w:rsid w:val="00A01C2C"/>
    <w:rsid w:val="00A119F7"/>
    <w:rsid w:val="00A16198"/>
    <w:rsid w:val="00A20C74"/>
    <w:rsid w:val="00A2132B"/>
    <w:rsid w:val="00A46CC6"/>
    <w:rsid w:val="00A47D4E"/>
    <w:rsid w:val="00A5030A"/>
    <w:rsid w:val="00A52A55"/>
    <w:rsid w:val="00A53C8D"/>
    <w:rsid w:val="00A66329"/>
    <w:rsid w:val="00A77D2F"/>
    <w:rsid w:val="00A84CCD"/>
    <w:rsid w:val="00A90CA8"/>
    <w:rsid w:val="00A926E1"/>
    <w:rsid w:val="00A9500D"/>
    <w:rsid w:val="00A96B30"/>
    <w:rsid w:val="00AA27AE"/>
    <w:rsid w:val="00AB4BDC"/>
    <w:rsid w:val="00AB622F"/>
    <w:rsid w:val="00AD32EB"/>
    <w:rsid w:val="00AD5DA6"/>
    <w:rsid w:val="00AE34BF"/>
    <w:rsid w:val="00B02A08"/>
    <w:rsid w:val="00B12CBB"/>
    <w:rsid w:val="00B130A6"/>
    <w:rsid w:val="00B14547"/>
    <w:rsid w:val="00B2141D"/>
    <w:rsid w:val="00B267B1"/>
    <w:rsid w:val="00B34719"/>
    <w:rsid w:val="00B452AD"/>
    <w:rsid w:val="00B56C8E"/>
    <w:rsid w:val="00B56EF9"/>
    <w:rsid w:val="00B66BD7"/>
    <w:rsid w:val="00B74159"/>
    <w:rsid w:val="00B80C57"/>
    <w:rsid w:val="00B961AB"/>
    <w:rsid w:val="00BA332C"/>
    <w:rsid w:val="00BA36C3"/>
    <w:rsid w:val="00BA78CB"/>
    <w:rsid w:val="00BA7D46"/>
    <w:rsid w:val="00BB132C"/>
    <w:rsid w:val="00BC126D"/>
    <w:rsid w:val="00BD5BE7"/>
    <w:rsid w:val="00BD6C4A"/>
    <w:rsid w:val="00BE10E4"/>
    <w:rsid w:val="00BE1BE6"/>
    <w:rsid w:val="00BE7D1D"/>
    <w:rsid w:val="00BF0D5E"/>
    <w:rsid w:val="00BF3948"/>
    <w:rsid w:val="00BF6187"/>
    <w:rsid w:val="00C06103"/>
    <w:rsid w:val="00C100F9"/>
    <w:rsid w:val="00C33787"/>
    <w:rsid w:val="00C346C8"/>
    <w:rsid w:val="00C4227D"/>
    <w:rsid w:val="00C440B0"/>
    <w:rsid w:val="00C4672C"/>
    <w:rsid w:val="00C632E6"/>
    <w:rsid w:val="00C65E95"/>
    <w:rsid w:val="00C66335"/>
    <w:rsid w:val="00C72E63"/>
    <w:rsid w:val="00C77EF8"/>
    <w:rsid w:val="00C93B66"/>
    <w:rsid w:val="00C965FC"/>
    <w:rsid w:val="00C970F4"/>
    <w:rsid w:val="00CB2874"/>
    <w:rsid w:val="00CB5BEC"/>
    <w:rsid w:val="00CB618D"/>
    <w:rsid w:val="00CC4D33"/>
    <w:rsid w:val="00CD66C2"/>
    <w:rsid w:val="00CF212E"/>
    <w:rsid w:val="00CF2164"/>
    <w:rsid w:val="00CF6774"/>
    <w:rsid w:val="00CF744B"/>
    <w:rsid w:val="00D06C2F"/>
    <w:rsid w:val="00D17794"/>
    <w:rsid w:val="00D21E2C"/>
    <w:rsid w:val="00D22EA1"/>
    <w:rsid w:val="00D233CF"/>
    <w:rsid w:val="00D32FAE"/>
    <w:rsid w:val="00D461DC"/>
    <w:rsid w:val="00D47732"/>
    <w:rsid w:val="00D515FC"/>
    <w:rsid w:val="00D534C9"/>
    <w:rsid w:val="00D53948"/>
    <w:rsid w:val="00D54680"/>
    <w:rsid w:val="00D54F04"/>
    <w:rsid w:val="00D71500"/>
    <w:rsid w:val="00D839F1"/>
    <w:rsid w:val="00D85DFB"/>
    <w:rsid w:val="00DA4287"/>
    <w:rsid w:val="00DA66AD"/>
    <w:rsid w:val="00DB378A"/>
    <w:rsid w:val="00DC648D"/>
    <w:rsid w:val="00DD760E"/>
    <w:rsid w:val="00DE3C2B"/>
    <w:rsid w:val="00DE636F"/>
    <w:rsid w:val="00DF2B52"/>
    <w:rsid w:val="00DF2E3F"/>
    <w:rsid w:val="00E029B8"/>
    <w:rsid w:val="00E05C2C"/>
    <w:rsid w:val="00E072D8"/>
    <w:rsid w:val="00E07FF5"/>
    <w:rsid w:val="00E11AFD"/>
    <w:rsid w:val="00E22164"/>
    <w:rsid w:val="00E232B3"/>
    <w:rsid w:val="00E239DB"/>
    <w:rsid w:val="00E344D2"/>
    <w:rsid w:val="00E36AE7"/>
    <w:rsid w:val="00E40AAC"/>
    <w:rsid w:val="00E42DFC"/>
    <w:rsid w:val="00E4719C"/>
    <w:rsid w:val="00E51C46"/>
    <w:rsid w:val="00E6702F"/>
    <w:rsid w:val="00E71594"/>
    <w:rsid w:val="00E72A62"/>
    <w:rsid w:val="00E86E6B"/>
    <w:rsid w:val="00E92FBF"/>
    <w:rsid w:val="00E9527E"/>
    <w:rsid w:val="00E977C8"/>
    <w:rsid w:val="00EA2D91"/>
    <w:rsid w:val="00EA5A2B"/>
    <w:rsid w:val="00EB32C5"/>
    <w:rsid w:val="00EB662F"/>
    <w:rsid w:val="00EC1406"/>
    <w:rsid w:val="00ED038D"/>
    <w:rsid w:val="00ED158E"/>
    <w:rsid w:val="00ED16AB"/>
    <w:rsid w:val="00ED41A4"/>
    <w:rsid w:val="00ED571E"/>
    <w:rsid w:val="00ED5FE4"/>
    <w:rsid w:val="00EE1CDF"/>
    <w:rsid w:val="00EE2059"/>
    <w:rsid w:val="00EF54AD"/>
    <w:rsid w:val="00F0325C"/>
    <w:rsid w:val="00F119C4"/>
    <w:rsid w:val="00F34615"/>
    <w:rsid w:val="00F40D8D"/>
    <w:rsid w:val="00F451BF"/>
    <w:rsid w:val="00F47F6A"/>
    <w:rsid w:val="00F60575"/>
    <w:rsid w:val="00F6221D"/>
    <w:rsid w:val="00F678DA"/>
    <w:rsid w:val="00F72D50"/>
    <w:rsid w:val="00F82BB8"/>
    <w:rsid w:val="00F911AE"/>
    <w:rsid w:val="00F96C44"/>
    <w:rsid w:val="00FA343A"/>
    <w:rsid w:val="00FA35FC"/>
    <w:rsid w:val="00FA67B4"/>
    <w:rsid w:val="00FA7158"/>
    <w:rsid w:val="00FB3AA5"/>
    <w:rsid w:val="00FB4D35"/>
    <w:rsid w:val="00FB6512"/>
    <w:rsid w:val="00FB6C45"/>
    <w:rsid w:val="00FB79F9"/>
    <w:rsid w:val="00FC75C8"/>
    <w:rsid w:val="00FE0688"/>
    <w:rsid w:val="00FE7629"/>
    <w:rsid w:val="00FF20C1"/>
    <w:rsid w:val="00FF2B2E"/>
    <w:rsid w:val="00FF7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0D05ED5"/>
  <w15:docId w15:val="{0DE377D0-7943-492A-B61A-56E281A7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76FA"/>
    <w:pPr>
      <w:jc w:val="both"/>
    </w:pPr>
    <w:rPr>
      <w:rFonts w:ascii="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212D"/>
    <w:pPr>
      <w:tabs>
        <w:tab w:val="center" w:pos="4513"/>
        <w:tab w:val="right" w:pos="9026"/>
      </w:tabs>
    </w:pPr>
  </w:style>
  <w:style w:type="paragraph" w:styleId="Footer">
    <w:name w:val="footer"/>
    <w:basedOn w:val="Normal"/>
    <w:link w:val="FooterChar"/>
    <w:rsid w:val="0005212D"/>
    <w:pPr>
      <w:tabs>
        <w:tab w:val="center" w:pos="4513"/>
        <w:tab w:val="right" w:pos="9026"/>
      </w:tabs>
    </w:pPr>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paragraph" w:customStyle="1" w:styleId="Mss">
    <w:name w:val="Mss"/>
    <w:basedOn w:val="Normal"/>
    <w:rsid w:val="007D5DC5"/>
    <w:pPr>
      <w:spacing w:line="480" w:lineRule="auto"/>
      <w:ind w:firstLine="720"/>
      <w:jc w:val="left"/>
    </w:pPr>
    <w:rPr>
      <w:rFonts w:ascii="Times New Roman" w:hAnsi="Times New Roman"/>
    </w:rPr>
  </w:style>
  <w:style w:type="paragraph" w:customStyle="1" w:styleId="PHeading">
    <w:name w:val="PHeading"/>
    <w:basedOn w:val="Normal"/>
    <w:next w:val="Normal"/>
    <w:link w:val="PHeadingChar"/>
    <w:autoRedefine/>
    <w:qFormat/>
    <w:rsid w:val="00244D99"/>
    <w:rPr>
      <w:rFonts w:ascii="Arial" w:hAnsi="Arial" w:cs="Arial"/>
      <w:b/>
    </w:rPr>
  </w:style>
  <w:style w:type="character" w:customStyle="1" w:styleId="PHeadingChar">
    <w:name w:val="PHeading Char"/>
    <w:basedOn w:val="DefaultParagraphFont"/>
    <w:link w:val="PHeading"/>
    <w:rsid w:val="00244D99"/>
    <w:rPr>
      <w:rFonts w:ascii="Arial" w:hAnsi="Arial" w:cs="Arial"/>
      <w:b/>
      <w:sz w:val="24"/>
      <w:szCs w:val="24"/>
    </w:rPr>
  </w:style>
  <w:style w:type="paragraph" w:styleId="EnvelopeAddress">
    <w:name w:val="envelope address"/>
    <w:basedOn w:val="Normal"/>
    <w:rsid w:val="00244D99"/>
    <w:pPr>
      <w:framePr w:w="7920" w:h="1980" w:hRule="exact" w:hSpace="180" w:wrap="auto" w:hAnchor="page" w:xAlign="center" w:yAlign="bottom"/>
      <w:ind w:left="2880"/>
    </w:pPr>
    <w:rPr>
      <w:rFonts w:eastAsiaTheme="majorEastAsia" w:cstheme="majorBidi"/>
    </w:rPr>
  </w:style>
  <w:style w:type="table" w:styleId="TableGrid">
    <w:name w:val="Table Grid"/>
    <w:basedOn w:val="TableNormal"/>
    <w:rsid w:val="00244D99"/>
    <w:rPr>
      <w:rFonts w:ascii="Trebuchet MS" w:hAnsi="Trebuchet M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numbering" w:customStyle="1" w:styleId="Style1">
    <w:name w:val="Style1"/>
    <w:uiPriority w:val="99"/>
    <w:rsid w:val="00244D99"/>
    <w:pPr>
      <w:numPr>
        <w:numId w:val="33"/>
      </w:numPr>
    </w:pPr>
  </w:style>
  <w:style w:type="character" w:customStyle="1" w:styleId="HeaderChar">
    <w:name w:val="Header Char"/>
    <w:basedOn w:val="DefaultParagraphFont"/>
    <w:link w:val="Header"/>
    <w:rsid w:val="00244D99"/>
    <w:rPr>
      <w:rFonts w:ascii="Trebuchet MS" w:hAnsi="Trebuchet MS"/>
      <w:sz w:val="24"/>
      <w:szCs w:val="24"/>
    </w:rPr>
  </w:style>
  <w:style w:type="character" w:customStyle="1" w:styleId="FooterChar">
    <w:name w:val="Footer Char"/>
    <w:basedOn w:val="DefaultParagraphFont"/>
    <w:link w:val="Footer"/>
    <w:rsid w:val="00244D99"/>
    <w:rPr>
      <w:rFonts w:ascii="Trebuchet MS" w:hAnsi="Trebuchet MS"/>
      <w:sz w:val="24"/>
      <w:szCs w:val="24"/>
    </w:rPr>
  </w:style>
  <w:style w:type="paragraph" w:styleId="ListParagraph">
    <w:name w:val="List Paragraph"/>
    <w:basedOn w:val="Normal"/>
    <w:uiPriority w:val="34"/>
    <w:qFormat/>
    <w:rsid w:val="00244D99"/>
    <w:pPr>
      <w:ind w:left="720"/>
      <w:contextualSpacing/>
    </w:pPr>
  </w:style>
  <w:style w:type="character" w:customStyle="1" w:styleId="BalloonTextChar">
    <w:name w:val="Balloon Text Char"/>
    <w:basedOn w:val="DefaultParagraphFont"/>
    <w:link w:val="BalloonText"/>
    <w:rsid w:val="00244D99"/>
    <w:rPr>
      <w:rFonts w:ascii="Tahoma" w:hAnsi="Tahoma" w:cs="Tahoma"/>
      <w:sz w:val="16"/>
      <w:szCs w:val="16"/>
    </w:rPr>
  </w:style>
  <w:style w:type="character" w:styleId="CommentReference">
    <w:name w:val="annotation reference"/>
    <w:basedOn w:val="DefaultParagraphFont"/>
    <w:semiHidden/>
    <w:unhideWhenUsed/>
    <w:rsid w:val="006819E5"/>
    <w:rPr>
      <w:sz w:val="16"/>
      <w:szCs w:val="16"/>
    </w:rPr>
  </w:style>
  <w:style w:type="paragraph" w:styleId="CommentText">
    <w:name w:val="annotation text"/>
    <w:basedOn w:val="Normal"/>
    <w:link w:val="CommentTextChar"/>
    <w:semiHidden/>
    <w:unhideWhenUsed/>
    <w:rsid w:val="006819E5"/>
    <w:rPr>
      <w:sz w:val="20"/>
      <w:szCs w:val="20"/>
    </w:rPr>
  </w:style>
  <w:style w:type="character" w:customStyle="1" w:styleId="CommentTextChar">
    <w:name w:val="Comment Text Char"/>
    <w:basedOn w:val="DefaultParagraphFont"/>
    <w:link w:val="CommentText"/>
    <w:semiHidden/>
    <w:rsid w:val="006819E5"/>
    <w:rPr>
      <w:rFonts w:ascii="Trebuchet MS" w:hAnsi="Trebuchet MS"/>
    </w:rPr>
  </w:style>
  <w:style w:type="paragraph" w:styleId="CommentSubject">
    <w:name w:val="annotation subject"/>
    <w:basedOn w:val="CommentText"/>
    <w:next w:val="CommentText"/>
    <w:link w:val="CommentSubjectChar"/>
    <w:semiHidden/>
    <w:unhideWhenUsed/>
    <w:rsid w:val="006819E5"/>
    <w:rPr>
      <w:b/>
      <w:bCs/>
    </w:rPr>
  </w:style>
  <w:style w:type="character" w:customStyle="1" w:styleId="CommentSubjectChar">
    <w:name w:val="Comment Subject Char"/>
    <w:basedOn w:val="CommentTextChar"/>
    <w:link w:val="CommentSubject"/>
    <w:semiHidden/>
    <w:rsid w:val="006819E5"/>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710484">
      <w:bodyDiv w:val="1"/>
      <w:marLeft w:val="0"/>
      <w:marRight w:val="0"/>
      <w:marTop w:val="0"/>
      <w:marBottom w:val="0"/>
      <w:divBdr>
        <w:top w:val="none" w:sz="0" w:space="0" w:color="auto"/>
        <w:left w:val="none" w:sz="0" w:space="0" w:color="auto"/>
        <w:bottom w:val="none" w:sz="0" w:space="0" w:color="auto"/>
        <w:right w:val="none" w:sz="0" w:space="0" w:color="auto"/>
      </w:divBdr>
      <w:divsChild>
        <w:div w:id="1084301108">
          <w:marLeft w:val="0"/>
          <w:marRight w:val="0"/>
          <w:marTop w:val="0"/>
          <w:marBottom w:val="0"/>
          <w:divBdr>
            <w:top w:val="none" w:sz="0" w:space="0" w:color="auto"/>
            <w:left w:val="none" w:sz="0" w:space="0" w:color="auto"/>
            <w:bottom w:val="none" w:sz="0" w:space="0" w:color="auto"/>
            <w:right w:val="none" w:sz="0" w:space="0" w:color="auto"/>
          </w:divBdr>
        </w:div>
      </w:divsChild>
    </w:div>
    <w:div w:id="1440642938">
      <w:bodyDiv w:val="1"/>
      <w:marLeft w:val="0"/>
      <w:marRight w:val="0"/>
      <w:marTop w:val="0"/>
      <w:marBottom w:val="0"/>
      <w:divBdr>
        <w:top w:val="none" w:sz="0" w:space="0" w:color="auto"/>
        <w:left w:val="none" w:sz="0" w:space="0" w:color="auto"/>
        <w:bottom w:val="none" w:sz="0" w:space="0" w:color="auto"/>
        <w:right w:val="none" w:sz="0" w:space="0" w:color="auto"/>
      </w:divBdr>
      <w:divsChild>
        <w:div w:id="1647126443">
          <w:marLeft w:val="0"/>
          <w:marRight w:val="0"/>
          <w:marTop w:val="0"/>
          <w:marBottom w:val="0"/>
          <w:divBdr>
            <w:top w:val="none" w:sz="0" w:space="0" w:color="auto"/>
            <w:left w:val="none" w:sz="0" w:space="0" w:color="auto"/>
            <w:bottom w:val="none" w:sz="0" w:space="0" w:color="auto"/>
            <w:right w:val="none" w:sz="0" w:space="0" w:color="auto"/>
          </w:divBdr>
        </w:div>
      </w:divsChild>
    </w:div>
    <w:div w:id="167617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99A7A3A2E8914986F3323A03856EA1" ma:contentTypeVersion="2" ma:contentTypeDescription="Create a new document." ma:contentTypeScope="" ma:versionID="98a1f924a0cd737be0f23f21a565277c">
  <xsd:schema xmlns:xsd="http://www.w3.org/2001/XMLSchema" xmlns:xs="http://www.w3.org/2001/XMLSchema" xmlns:p="http://schemas.microsoft.com/office/2006/metadata/properties" xmlns:ns2="f0d127f3-e693-4870-b68f-a688a771cafd" targetNamespace="http://schemas.microsoft.com/office/2006/metadata/properties" ma:root="true" ma:fieldsID="4d50a14b1ccd1dcb0109a9f3872fa31f" ns2:_="">
    <xsd:import namespace="f0d127f3-e693-4870-b68f-a688a771cafd"/>
    <xsd:element name="properties">
      <xsd:complexType>
        <xsd:sequence>
          <xsd:element name="documentManagement">
            <xsd:complexType>
              <xsd:all>
                <xsd:element ref="ns2:Explanation" minOccurs="0"/>
                <xsd:element ref="ns2:Reponsible_x0020_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127f3-e693-4870-b68f-a688a771cafd" elementFormDefault="qualified">
    <xsd:import namespace="http://schemas.microsoft.com/office/2006/documentManagement/types"/>
    <xsd:import namespace="http://schemas.microsoft.com/office/infopath/2007/PartnerControls"/>
    <xsd:element name="Explanation" ma:index="8" nillable="true" ma:displayName="Explanation" ma:internalName="Explanation">
      <xsd:simpleType>
        <xsd:restriction base="dms:Note">
          <xsd:maxLength value="255"/>
        </xsd:restriction>
      </xsd:simpleType>
    </xsd:element>
    <xsd:element name="Reponsible_x0020_Person" ma:index="9" nillable="true" ma:displayName="Reponsible Person" ma:internalName="Reponsible_x0020_Pers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xplanation xmlns="f0d127f3-e693-4870-b68f-a688a771cafd">This policy sets out the way in which Havebury will deliver its contractual responsibilities to leaseholders. It sets out the legal and regulatory framework for leasehold management and highlights that leaseholders are customers of Havebury. </Explanation>
    <Reponsible_x0020_Person xmlns="f0d127f3-e693-4870-b68f-a688a771cafd" xsi:nil="true"/>
  </documentManagement>
</p:properties>
</file>

<file path=customXml/itemProps1.xml><?xml version="1.0" encoding="utf-8"?>
<ds:datastoreItem xmlns:ds="http://schemas.openxmlformats.org/officeDocument/2006/customXml" ds:itemID="{8BAFE508-F853-41D8-87FD-9D6C3C8672ED}">
  <ds:schemaRefs>
    <ds:schemaRef ds:uri="http://schemas.microsoft.com/sharepoint/v3/contenttype/forms"/>
  </ds:schemaRefs>
</ds:datastoreItem>
</file>

<file path=customXml/itemProps2.xml><?xml version="1.0" encoding="utf-8"?>
<ds:datastoreItem xmlns:ds="http://schemas.openxmlformats.org/officeDocument/2006/customXml" ds:itemID="{59D67150-1772-4971-B190-34518092B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127f3-e693-4870-b68f-a688a771c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CADA8E-8A21-41B6-9D83-9415D41280A5}">
  <ds:schemaRefs>
    <ds:schemaRef ds:uri="http://schemas.microsoft.com/office/2006/metadata/properties"/>
    <ds:schemaRef ds:uri="http://schemas.microsoft.com/office/infopath/2007/PartnerControls"/>
    <ds:schemaRef ds:uri="f0d127f3-e693-4870-b68f-a688a771caf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1142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Leasehold Management Policy</vt:lpstr>
    </vt:vector>
  </TitlesOfParts>
  <Company>St Edmundsbury Borough Council</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Leasehold Management Policy</dc:title>
  <dc:creator>hstone</dc:creator>
  <cp:lastModifiedBy>Rebecca Feveyear</cp:lastModifiedBy>
  <cp:revision>2</cp:revision>
  <cp:lastPrinted>2012-11-13T12:10:00Z</cp:lastPrinted>
  <dcterms:created xsi:type="dcterms:W3CDTF">2021-04-14T15:22:00Z</dcterms:created>
  <dcterms:modified xsi:type="dcterms:W3CDTF">2021-04-14T15:22:00Z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lanation">
    <vt:lpwstr>This policy sets out the way in which Havebury will deliver its contractual responsibilities to leaseholders. It sets out the legal and regulatory framework for leasehold management and highlights that leaseholders are customers of Havebury. </vt:lpwstr>
  </property>
  <property fmtid="{D5CDD505-2E9C-101B-9397-08002B2CF9AE}" pid="3" name="ContentType">
    <vt:lpwstr>Document</vt:lpwstr>
  </property>
  <property fmtid="{D5CDD505-2E9C-101B-9397-08002B2CF9AE}" pid="4" name="Policy No">
    <vt:lpwstr>HS017</vt:lpwstr>
  </property>
  <property fmtid="{D5CDD505-2E9C-101B-9397-08002B2CF9AE}" pid="5" name="display_urn:schemas-microsoft-com:office:office#Lead_x0020_Officer">
    <vt:lpwstr>Maddams, Roger</vt:lpwstr>
  </property>
  <property fmtid="{D5CDD505-2E9C-101B-9397-08002B2CF9AE}" pid="6" name="Lead Officer">
    <vt:lpwstr>198</vt:lpwstr>
  </property>
  <property fmtid="{D5CDD505-2E9C-101B-9397-08002B2CF9AE}" pid="7" name="ContentTypeId">
    <vt:lpwstr>0x010100B899A7A3A2E8914986F3323A03856EA1</vt:lpwstr>
  </property>
</Properties>
</file>